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65" w:rsidRDefault="009B5965" w:rsidP="00814174">
      <w:pPr>
        <w:spacing w:after="0" w:line="240" w:lineRule="auto"/>
        <w:jc w:val="center"/>
        <w:rPr>
          <w:rFonts w:ascii="Arial" w:eastAsia="Times New Roman" w:hAnsi="Arial"/>
          <w:b/>
          <w:bCs/>
          <w:color w:val="000000"/>
          <w:sz w:val="24"/>
          <w:szCs w:val="24"/>
          <w:lang w:val="es-ES_tradnl" w:eastAsia="es-CO"/>
        </w:rPr>
      </w:pPr>
    </w:p>
    <w:p w:rsidR="009B5965" w:rsidRDefault="009B5965" w:rsidP="00814174">
      <w:pPr>
        <w:spacing w:after="0" w:line="240" w:lineRule="auto"/>
        <w:jc w:val="center"/>
        <w:rPr>
          <w:rFonts w:ascii="Arial" w:eastAsia="Times New Roman" w:hAnsi="Arial"/>
          <w:b/>
          <w:bCs/>
          <w:color w:val="000000"/>
          <w:sz w:val="24"/>
          <w:szCs w:val="24"/>
          <w:lang w:val="es-ES_tradnl" w:eastAsia="es-CO"/>
        </w:rPr>
      </w:pPr>
    </w:p>
    <w:p w:rsidR="00814174" w:rsidRPr="002674A4" w:rsidRDefault="00B06221" w:rsidP="00814174">
      <w:pPr>
        <w:spacing w:after="0" w:line="240" w:lineRule="auto"/>
        <w:jc w:val="center"/>
        <w:rPr>
          <w:rFonts w:ascii="Arial" w:eastAsia="Times New Roman" w:hAnsi="Arial"/>
          <w:bCs/>
          <w:color w:val="000000"/>
          <w:sz w:val="24"/>
          <w:szCs w:val="24"/>
          <w:lang w:val="es-ES_tradnl" w:eastAsia="es-CO"/>
        </w:rPr>
      </w:pPr>
      <w:r>
        <w:rPr>
          <w:rFonts w:ascii="Arial" w:eastAsia="Times New Roman" w:hAnsi="Arial"/>
          <w:b/>
          <w:bCs/>
          <w:color w:val="000000"/>
          <w:sz w:val="24"/>
          <w:szCs w:val="24"/>
          <w:lang w:val="es-ES_tradnl" w:eastAsia="es-CO"/>
        </w:rPr>
        <w:t>TEXTO A</w:t>
      </w:r>
      <w:r w:rsidR="009B5965">
        <w:rPr>
          <w:rFonts w:ascii="Arial" w:eastAsia="Times New Roman" w:hAnsi="Arial"/>
          <w:b/>
          <w:bCs/>
          <w:color w:val="000000"/>
          <w:sz w:val="24"/>
          <w:szCs w:val="24"/>
          <w:lang w:val="es-ES_tradnl" w:eastAsia="es-CO"/>
        </w:rPr>
        <w:t>PROBA</w:t>
      </w:r>
      <w:r>
        <w:rPr>
          <w:rFonts w:ascii="Arial" w:eastAsia="Times New Roman" w:hAnsi="Arial"/>
          <w:b/>
          <w:bCs/>
          <w:color w:val="000000"/>
          <w:sz w:val="24"/>
          <w:szCs w:val="24"/>
          <w:lang w:val="es-ES_tradnl" w:eastAsia="es-CO"/>
        </w:rPr>
        <w:t xml:space="preserve">DO </w:t>
      </w:r>
      <w:r w:rsidR="009B5965">
        <w:rPr>
          <w:rFonts w:ascii="Arial" w:eastAsia="Times New Roman" w:hAnsi="Arial"/>
          <w:b/>
          <w:bCs/>
          <w:color w:val="000000"/>
          <w:sz w:val="24"/>
          <w:szCs w:val="24"/>
          <w:lang w:val="es-ES_tradnl" w:eastAsia="es-CO"/>
        </w:rPr>
        <w:t xml:space="preserve">EN LA COMISIÓN PRIMERA DE LA HONORABLE CÁMARA DE REPRESENTANTES </w:t>
      </w:r>
      <w:r w:rsidR="00814174">
        <w:rPr>
          <w:rFonts w:ascii="Arial" w:eastAsia="Times New Roman" w:hAnsi="Arial"/>
          <w:b/>
          <w:bCs/>
          <w:color w:val="000000"/>
          <w:sz w:val="24"/>
          <w:szCs w:val="24"/>
          <w:lang w:val="es-ES_tradnl" w:eastAsia="es-CO"/>
        </w:rPr>
        <w:t>DEL</w:t>
      </w:r>
      <w:r w:rsidR="00814174" w:rsidRPr="00FA1E16">
        <w:rPr>
          <w:rFonts w:ascii="Arial" w:eastAsia="Times New Roman" w:hAnsi="Arial"/>
          <w:b/>
          <w:bCs/>
          <w:color w:val="000000"/>
          <w:sz w:val="24"/>
          <w:szCs w:val="24"/>
          <w:lang w:val="es-ES_tradnl" w:eastAsia="es-CO"/>
        </w:rPr>
        <w:t xml:space="preserve"> </w:t>
      </w:r>
      <w:r w:rsidR="00814174" w:rsidRPr="0058599B">
        <w:rPr>
          <w:rFonts w:ascii="Arial" w:eastAsia="Times New Roman" w:hAnsi="Arial"/>
          <w:b/>
          <w:bCs/>
          <w:color w:val="000000"/>
          <w:sz w:val="24"/>
          <w:szCs w:val="24"/>
          <w:lang w:val="es-ES_tradnl" w:eastAsia="es-CO"/>
        </w:rPr>
        <w:t>PROYECTO DE</w:t>
      </w:r>
      <w:r w:rsidR="00814174" w:rsidRPr="00FA1E16">
        <w:rPr>
          <w:rFonts w:ascii="Arial" w:eastAsia="Times New Roman" w:hAnsi="Arial"/>
          <w:b/>
          <w:bCs/>
          <w:color w:val="000000"/>
          <w:sz w:val="24"/>
          <w:szCs w:val="24"/>
          <w:lang w:val="es-ES_tradnl" w:eastAsia="es-CO"/>
        </w:rPr>
        <w:t xml:space="preserve"> LEY NÚMERO </w:t>
      </w:r>
      <w:r w:rsidR="00814174" w:rsidRPr="0058599B">
        <w:rPr>
          <w:rFonts w:ascii="Arial" w:hAnsi="Arial"/>
          <w:b/>
          <w:sz w:val="24"/>
          <w:szCs w:val="24"/>
        </w:rPr>
        <w:t>131 DE 2016 CÁMARA “POR MEDIO DEL CUAL SE CREA EL REGISTRO ÚNICO DE UNIDADES DE PROPIEDAD HORIZONTAL Y SE MODIFICA DE LA LEY 675 DE 2001</w:t>
      </w:r>
      <w:r w:rsidR="009B5965">
        <w:rPr>
          <w:rFonts w:ascii="Arial" w:hAnsi="Arial"/>
          <w:b/>
          <w:sz w:val="24"/>
          <w:szCs w:val="24"/>
        </w:rPr>
        <w:t>”</w:t>
      </w:r>
      <w:r w:rsidR="00814174" w:rsidRPr="0058599B">
        <w:rPr>
          <w:rFonts w:ascii="Arial" w:hAnsi="Arial"/>
          <w:b/>
          <w:sz w:val="24"/>
          <w:szCs w:val="24"/>
        </w:rPr>
        <w:t>.</w:t>
      </w:r>
    </w:p>
    <w:p w:rsidR="00C71B63" w:rsidRPr="00CC0126" w:rsidRDefault="00C71B63" w:rsidP="00C71B63">
      <w:pPr>
        <w:spacing w:after="0" w:line="276" w:lineRule="auto"/>
        <w:jc w:val="center"/>
        <w:rPr>
          <w:rFonts w:ascii="Arial" w:hAnsi="Arial"/>
          <w:b/>
          <w:bCs/>
          <w:sz w:val="24"/>
          <w:szCs w:val="24"/>
        </w:rPr>
      </w:pPr>
    </w:p>
    <w:p w:rsidR="000C1A28" w:rsidRPr="00CC0126" w:rsidRDefault="00C71B63" w:rsidP="00C71B63">
      <w:pPr>
        <w:spacing w:after="0" w:line="276" w:lineRule="auto"/>
        <w:jc w:val="center"/>
        <w:rPr>
          <w:rFonts w:ascii="Arial" w:hAnsi="Arial"/>
          <w:b/>
          <w:bCs/>
          <w:sz w:val="24"/>
          <w:szCs w:val="24"/>
        </w:rPr>
      </w:pPr>
      <w:r w:rsidRPr="00CC0126">
        <w:rPr>
          <w:rFonts w:ascii="Arial" w:hAnsi="Arial"/>
          <w:b/>
          <w:bCs/>
          <w:sz w:val="24"/>
          <w:szCs w:val="24"/>
        </w:rPr>
        <w:t xml:space="preserve"> </w:t>
      </w:r>
    </w:p>
    <w:p w:rsidR="000C1A28" w:rsidRPr="00CC0126" w:rsidRDefault="006B6E56" w:rsidP="000C1A28">
      <w:pPr>
        <w:widowControl w:val="0"/>
        <w:autoSpaceDE w:val="0"/>
        <w:autoSpaceDN w:val="0"/>
        <w:adjustRightInd w:val="0"/>
        <w:spacing w:after="60"/>
        <w:jc w:val="center"/>
        <w:rPr>
          <w:rFonts w:ascii="Arial" w:hAnsi="Arial"/>
          <w:b/>
          <w:sz w:val="24"/>
          <w:szCs w:val="24"/>
        </w:rPr>
      </w:pPr>
      <w:r>
        <w:rPr>
          <w:rFonts w:ascii="Arial" w:hAnsi="Arial"/>
          <w:b/>
          <w:sz w:val="24"/>
          <w:szCs w:val="24"/>
        </w:rPr>
        <w:t xml:space="preserve">EL CONGRESO </w:t>
      </w:r>
      <w:r w:rsidR="00EC5579" w:rsidRPr="00CC0126">
        <w:rPr>
          <w:rFonts w:ascii="Arial" w:hAnsi="Arial"/>
          <w:b/>
          <w:sz w:val="24"/>
          <w:szCs w:val="24"/>
        </w:rPr>
        <w:t xml:space="preserve">DE </w:t>
      </w:r>
      <w:r w:rsidR="00647EE1" w:rsidRPr="00CC0126">
        <w:rPr>
          <w:rFonts w:ascii="Arial" w:hAnsi="Arial"/>
          <w:b/>
          <w:sz w:val="24"/>
          <w:szCs w:val="24"/>
        </w:rPr>
        <w:t>COLOMBIA</w:t>
      </w:r>
    </w:p>
    <w:p w:rsidR="00647EE1" w:rsidRDefault="00647EE1" w:rsidP="000C1A28">
      <w:pPr>
        <w:widowControl w:val="0"/>
        <w:autoSpaceDE w:val="0"/>
        <w:autoSpaceDN w:val="0"/>
        <w:adjustRightInd w:val="0"/>
        <w:spacing w:after="60"/>
        <w:jc w:val="center"/>
        <w:rPr>
          <w:rFonts w:ascii="Arial" w:hAnsi="Arial"/>
          <w:b/>
          <w:sz w:val="24"/>
          <w:szCs w:val="24"/>
        </w:rPr>
      </w:pPr>
    </w:p>
    <w:p w:rsidR="000C1A28" w:rsidRPr="00CC0126" w:rsidRDefault="00647EE1" w:rsidP="000C1A28">
      <w:pPr>
        <w:widowControl w:val="0"/>
        <w:autoSpaceDE w:val="0"/>
        <w:autoSpaceDN w:val="0"/>
        <w:adjustRightInd w:val="0"/>
        <w:spacing w:after="60"/>
        <w:jc w:val="center"/>
        <w:rPr>
          <w:rFonts w:ascii="Arial" w:hAnsi="Arial"/>
          <w:b/>
          <w:sz w:val="24"/>
          <w:szCs w:val="24"/>
        </w:rPr>
      </w:pPr>
      <w:r w:rsidRPr="00CC0126">
        <w:rPr>
          <w:rFonts w:ascii="Arial" w:hAnsi="Arial"/>
          <w:b/>
          <w:sz w:val="24"/>
          <w:szCs w:val="24"/>
        </w:rPr>
        <w:t>DECRETA:</w:t>
      </w:r>
    </w:p>
    <w:p w:rsidR="007332D1" w:rsidRDefault="007332D1" w:rsidP="007332D1">
      <w:pPr>
        <w:spacing w:after="0" w:line="240" w:lineRule="auto"/>
        <w:jc w:val="center"/>
        <w:textAlignment w:val="center"/>
        <w:rPr>
          <w:rFonts w:ascii="Arial" w:eastAsia="Times New Roman" w:hAnsi="Arial"/>
          <w:sz w:val="24"/>
          <w:szCs w:val="24"/>
          <w:lang w:eastAsia="es-CO"/>
        </w:rPr>
      </w:pPr>
    </w:p>
    <w:p w:rsidR="00814174" w:rsidRPr="0082184D" w:rsidRDefault="00814174" w:rsidP="00814174">
      <w:pPr>
        <w:spacing w:before="51" w:after="45" w:line="288" w:lineRule="atLeast"/>
        <w:jc w:val="center"/>
        <w:textAlignment w:val="center"/>
        <w:rPr>
          <w:rFonts w:ascii="Arial" w:eastAsia="Times New Roman" w:hAnsi="Arial"/>
          <w:color w:val="000000"/>
          <w:sz w:val="24"/>
          <w:szCs w:val="24"/>
          <w:lang w:val="es-ES_tradnl" w:eastAsia="es-CO"/>
        </w:rPr>
      </w:pPr>
    </w:p>
    <w:p w:rsidR="00814174" w:rsidRPr="00FA1E16" w:rsidRDefault="00814174" w:rsidP="00814174">
      <w:pPr>
        <w:spacing w:before="51" w:after="45" w:line="288" w:lineRule="atLeast"/>
        <w:jc w:val="center"/>
        <w:textAlignment w:val="center"/>
        <w:rPr>
          <w:rFonts w:ascii="Arial" w:eastAsia="Times New Roman" w:hAnsi="Arial"/>
          <w:color w:val="000000"/>
          <w:sz w:val="24"/>
          <w:szCs w:val="24"/>
          <w:lang w:eastAsia="es-CO"/>
        </w:rPr>
      </w:pPr>
    </w:p>
    <w:p w:rsidR="00814174" w:rsidRPr="004E43DD" w:rsidRDefault="00814174" w:rsidP="00814174">
      <w:pPr>
        <w:jc w:val="both"/>
        <w:rPr>
          <w:rFonts w:ascii="Arial" w:hAnsi="Arial"/>
          <w:sz w:val="24"/>
          <w:szCs w:val="24"/>
        </w:rPr>
      </w:pPr>
      <w:r w:rsidRPr="00814174">
        <w:rPr>
          <w:rFonts w:ascii="Arial" w:hAnsi="Arial"/>
          <w:b/>
          <w:sz w:val="24"/>
          <w:szCs w:val="24"/>
        </w:rPr>
        <w:t>Artículo 1°.</w:t>
      </w:r>
      <w:r w:rsidR="00794AE6">
        <w:rPr>
          <w:rFonts w:ascii="Arial" w:hAnsi="Arial"/>
          <w:sz w:val="24"/>
          <w:szCs w:val="24"/>
        </w:rPr>
        <w:t xml:space="preserve"> Adiciónese el A</w:t>
      </w:r>
      <w:r w:rsidRPr="004E43DD">
        <w:rPr>
          <w:rFonts w:ascii="Arial" w:hAnsi="Arial"/>
          <w:sz w:val="24"/>
          <w:szCs w:val="24"/>
        </w:rPr>
        <w:t>rtículo 8A, a la Ley 675 de 2001 el cual quedará así:</w:t>
      </w:r>
    </w:p>
    <w:p w:rsidR="00814174" w:rsidRPr="004E43DD" w:rsidRDefault="00814174" w:rsidP="00814174">
      <w:pPr>
        <w:jc w:val="both"/>
        <w:rPr>
          <w:rFonts w:ascii="Arial" w:hAnsi="Arial"/>
          <w:sz w:val="24"/>
          <w:szCs w:val="24"/>
        </w:rPr>
      </w:pPr>
      <w:r w:rsidRPr="00814174">
        <w:rPr>
          <w:rFonts w:ascii="Arial" w:hAnsi="Arial"/>
          <w:b/>
          <w:sz w:val="24"/>
          <w:szCs w:val="24"/>
        </w:rPr>
        <w:t>Artículo 8A. Registro de Unidades de Propiedad Horizontal.</w:t>
      </w:r>
      <w:r w:rsidRPr="004E43DD">
        <w:rPr>
          <w:rFonts w:ascii="Arial" w:hAnsi="Arial"/>
          <w:sz w:val="24"/>
          <w:szCs w:val="24"/>
        </w:rPr>
        <w:t xml:space="preserve"> Créase el Registro de Unidades de Propiedad Horizontal, Registro en cabeza del Ministerio de Vivienda, Ciudad y Territorio y </w:t>
      </w:r>
      <w:r w:rsidR="00794AE6">
        <w:rPr>
          <w:rFonts w:ascii="Arial" w:hAnsi="Arial"/>
          <w:sz w:val="24"/>
          <w:szCs w:val="24"/>
        </w:rPr>
        <w:t>administrado por las alcaldías M</w:t>
      </w:r>
      <w:r w:rsidRPr="004E43DD">
        <w:rPr>
          <w:rFonts w:ascii="Arial" w:hAnsi="Arial"/>
          <w:sz w:val="24"/>
          <w:szCs w:val="24"/>
        </w:rPr>
        <w:t xml:space="preserve">unicipales o Distritales, las cuales </w:t>
      </w:r>
      <w:proofErr w:type="gramStart"/>
      <w:r w:rsidRPr="004E43DD">
        <w:rPr>
          <w:rFonts w:ascii="Arial" w:hAnsi="Arial"/>
          <w:sz w:val="24"/>
          <w:szCs w:val="24"/>
        </w:rPr>
        <w:t>se</w:t>
      </w:r>
      <w:proofErr w:type="gramEnd"/>
      <w:r w:rsidRPr="004E43DD">
        <w:rPr>
          <w:rFonts w:ascii="Arial" w:hAnsi="Arial"/>
          <w:sz w:val="24"/>
          <w:szCs w:val="24"/>
        </w:rPr>
        <w:t xml:space="preserve"> encargará de la protección, modificación y actualización de la información allí contenida.</w:t>
      </w:r>
      <w:r w:rsidRPr="004E43DD">
        <w:rPr>
          <w:rFonts w:ascii="Arial" w:hAnsi="Arial"/>
          <w:sz w:val="24"/>
          <w:szCs w:val="24"/>
          <w:highlight w:val="yellow"/>
        </w:rPr>
        <w:t xml:space="preserve"> </w:t>
      </w:r>
    </w:p>
    <w:p w:rsidR="00814174" w:rsidRPr="004E43DD" w:rsidRDefault="00814174" w:rsidP="00814174">
      <w:pPr>
        <w:jc w:val="both"/>
        <w:rPr>
          <w:rFonts w:ascii="Arial" w:hAnsi="Arial"/>
          <w:sz w:val="24"/>
          <w:szCs w:val="24"/>
        </w:rPr>
      </w:pPr>
      <w:r w:rsidRPr="00814174">
        <w:rPr>
          <w:rFonts w:ascii="Arial" w:hAnsi="Arial"/>
          <w:b/>
          <w:sz w:val="24"/>
          <w:szCs w:val="24"/>
        </w:rPr>
        <w:t>Parágrafo 1°.</w:t>
      </w:r>
      <w:r w:rsidRPr="004E43DD">
        <w:rPr>
          <w:rFonts w:ascii="Arial" w:hAnsi="Arial"/>
          <w:sz w:val="24"/>
          <w:szCs w:val="24"/>
        </w:rPr>
        <w:t> Todas las propiedades sometidas al régimen de propiedad horizontal, Ley 675 de 2001, deberán inscribirse en el Registro de Unidades de Propiedad Horizontal administrado por las alcaldías Municipales o Distritales, el registro se hará ante la respectiva secretaria de planeación o quien haga sus veces, para lo cual contarán con un término de 6 meses, contados a partir del registro ante la oficina de instrumentos públicos de la escritura pública de la constitución de propiedad horizontal.</w:t>
      </w:r>
    </w:p>
    <w:p w:rsidR="00814174" w:rsidRPr="004E43DD" w:rsidRDefault="00814174" w:rsidP="00814174">
      <w:pPr>
        <w:jc w:val="both"/>
        <w:rPr>
          <w:rFonts w:ascii="Arial" w:hAnsi="Arial"/>
          <w:sz w:val="24"/>
          <w:szCs w:val="24"/>
        </w:rPr>
      </w:pPr>
      <w:r w:rsidRPr="004E43DD">
        <w:rPr>
          <w:rFonts w:ascii="Arial" w:hAnsi="Arial"/>
          <w:sz w:val="24"/>
          <w:szCs w:val="24"/>
        </w:rPr>
        <w:t xml:space="preserve">Las alcaldías Municipales o Distritales, podrán disponer de las herramientas técnicas y tecnológicas necesarias para garantizar la veracidad y agilidad de la información de las unidades de propiedad horizontal que se registren en su respectiva jurisdicción. </w:t>
      </w:r>
    </w:p>
    <w:p w:rsidR="00814174" w:rsidRPr="004E43DD" w:rsidRDefault="00814174" w:rsidP="00814174">
      <w:pPr>
        <w:jc w:val="both"/>
        <w:rPr>
          <w:rFonts w:ascii="Arial" w:hAnsi="Arial"/>
          <w:sz w:val="24"/>
          <w:szCs w:val="24"/>
        </w:rPr>
      </w:pPr>
      <w:r w:rsidRPr="00814174">
        <w:rPr>
          <w:rFonts w:ascii="Arial" w:hAnsi="Arial"/>
          <w:b/>
          <w:sz w:val="24"/>
          <w:szCs w:val="24"/>
        </w:rPr>
        <w:t>Parágrafo 2°.</w:t>
      </w:r>
      <w:r w:rsidRPr="004E43DD">
        <w:rPr>
          <w:rFonts w:ascii="Arial" w:hAnsi="Arial"/>
          <w:sz w:val="24"/>
          <w:szCs w:val="24"/>
        </w:rPr>
        <w:t> El Gobierno nacional en cabeza del Ministerio de Vivienda Ciudad y Territorio en un término no mayor a seis meses a partir de la expedición de la presente ley reglamentará la operación del Registro de Unidades de Propiedad Horizontal en las alcaldías Municipales o Distritales y las sanciones a las que haya lugar por violación a las disposiciones de la presente ley. Las secretarias de planeación o quien haga sus veces, reportaran al Ministerio de Vivienda Ciudad y Territorio, las unidades de propiedad horizontal que se registren en su respectiva jurisdicción.</w:t>
      </w:r>
    </w:p>
    <w:p w:rsidR="009B5965" w:rsidRDefault="009B5965" w:rsidP="00814174">
      <w:pPr>
        <w:jc w:val="both"/>
        <w:rPr>
          <w:rFonts w:ascii="Arial" w:hAnsi="Arial"/>
          <w:b/>
          <w:sz w:val="24"/>
          <w:szCs w:val="24"/>
        </w:rPr>
      </w:pPr>
    </w:p>
    <w:p w:rsidR="00814174" w:rsidRPr="004E43DD" w:rsidRDefault="00814174" w:rsidP="00814174">
      <w:pPr>
        <w:jc w:val="both"/>
        <w:rPr>
          <w:rFonts w:ascii="Arial" w:hAnsi="Arial"/>
          <w:sz w:val="24"/>
          <w:szCs w:val="24"/>
        </w:rPr>
      </w:pPr>
      <w:r w:rsidRPr="00814174">
        <w:rPr>
          <w:rFonts w:ascii="Arial" w:hAnsi="Arial"/>
          <w:b/>
          <w:sz w:val="24"/>
          <w:szCs w:val="24"/>
        </w:rPr>
        <w:t>Artículo 2°.</w:t>
      </w:r>
      <w:r w:rsidR="00794AE6">
        <w:rPr>
          <w:rFonts w:ascii="Arial" w:hAnsi="Arial"/>
          <w:sz w:val="24"/>
          <w:szCs w:val="24"/>
        </w:rPr>
        <w:t xml:space="preserve"> Adiciónese el A</w:t>
      </w:r>
      <w:r w:rsidRPr="004E43DD">
        <w:rPr>
          <w:rFonts w:ascii="Arial" w:hAnsi="Arial"/>
          <w:sz w:val="24"/>
          <w:szCs w:val="24"/>
        </w:rPr>
        <w:t>rtículo 8B, a la Ley 675 de 2001 el cual quedará así:</w:t>
      </w:r>
    </w:p>
    <w:p w:rsidR="00814174" w:rsidRPr="004E43DD" w:rsidRDefault="00814174" w:rsidP="00814174">
      <w:pPr>
        <w:jc w:val="both"/>
        <w:rPr>
          <w:rFonts w:ascii="Arial" w:hAnsi="Arial"/>
          <w:sz w:val="24"/>
          <w:szCs w:val="24"/>
        </w:rPr>
      </w:pPr>
      <w:r w:rsidRPr="00814174">
        <w:rPr>
          <w:rFonts w:ascii="Arial" w:hAnsi="Arial"/>
          <w:b/>
          <w:sz w:val="24"/>
          <w:szCs w:val="24"/>
        </w:rPr>
        <w:t>Artículo 8B.</w:t>
      </w:r>
      <w:r w:rsidRPr="004E43DD">
        <w:rPr>
          <w:rFonts w:ascii="Arial" w:hAnsi="Arial"/>
          <w:sz w:val="24"/>
          <w:szCs w:val="24"/>
        </w:rPr>
        <w:t> Se entiende por Registro de Unidades de Propiedad Horizontal el reconocimiento que hacen las Alcaldías Municipales o Distritales al organismo con facultades de dirección y representación de la respectiva propiedad horizontal, bien sea esta residencial, mixta o comercial. El registro contendrá como mínimo la dirección de la copropiedad, el nombre y NIT, el número de unidades, clase de propiedad horizontal, nombre e identificación del representante legal y de los miembros del Consejo de Administración si los hubiere, documento de identidad general de propietarios y las limitaciones que la Asamblea General de Propietarios o el órgano de administración imponga al administrador para el ejercicio de la representación legal de la propiedad horizontal.</w:t>
      </w:r>
    </w:p>
    <w:p w:rsidR="00814174" w:rsidRPr="004E43DD" w:rsidRDefault="00814174" w:rsidP="00814174">
      <w:pPr>
        <w:rPr>
          <w:rFonts w:ascii="Arial" w:hAnsi="Arial"/>
          <w:sz w:val="24"/>
          <w:szCs w:val="24"/>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814174">
        <w:rPr>
          <w:rFonts w:ascii="Arial" w:eastAsia="Times New Roman" w:hAnsi="Arial"/>
          <w:b/>
          <w:color w:val="000000"/>
          <w:sz w:val="24"/>
          <w:szCs w:val="24"/>
          <w:lang w:val="es-ES_tradnl"/>
        </w:rPr>
        <w:t>Artículo 3°</w:t>
      </w:r>
      <w:r>
        <w:rPr>
          <w:rFonts w:ascii="Arial" w:eastAsia="Times New Roman" w:hAnsi="Arial"/>
          <w:b/>
          <w:color w:val="000000"/>
          <w:sz w:val="24"/>
          <w:szCs w:val="24"/>
          <w:lang w:val="es-ES_tradnl"/>
        </w:rPr>
        <w:t xml:space="preserve">. </w:t>
      </w:r>
      <w:r w:rsidRPr="004E43DD">
        <w:rPr>
          <w:rFonts w:ascii="Arial" w:eastAsia="Times New Roman" w:hAnsi="Arial"/>
          <w:color w:val="000000"/>
          <w:sz w:val="24"/>
          <w:szCs w:val="24"/>
          <w:lang w:val="es-ES_tradnl"/>
        </w:rPr>
        <w:t xml:space="preserve">Adiciónese el </w:t>
      </w:r>
      <w:r w:rsidR="00794AE6">
        <w:rPr>
          <w:rFonts w:ascii="Arial" w:eastAsia="Times New Roman" w:hAnsi="Arial"/>
          <w:color w:val="000000"/>
          <w:sz w:val="24"/>
          <w:szCs w:val="24"/>
          <w:lang w:val="es-ES_tradnl"/>
        </w:rPr>
        <w:t>A</w:t>
      </w:r>
      <w:r w:rsidRPr="004E43DD">
        <w:rPr>
          <w:rFonts w:ascii="Arial" w:eastAsia="Times New Roman" w:hAnsi="Arial"/>
          <w:color w:val="000000"/>
          <w:sz w:val="24"/>
          <w:szCs w:val="24"/>
          <w:lang w:val="es-ES_tradnl"/>
        </w:rPr>
        <w:t>rtículo 15A, a la Ley 675 de 2001, el cual quedará así:</w:t>
      </w:r>
    </w:p>
    <w:p w:rsidR="00814174" w:rsidRDefault="00814174" w:rsidP="00814174">
      <w:pPr>
        <w:spacing w:before="57" w:after="57" w:line="288" w:lineRule="atLeast"/>
        <w:jc w:val="both"/>
        <w:textAlignment w:val="center"/>
        <w:rPr>
          <w:rFonts w:ascii="Arial" w:eastAsia="Times New Roman" w:hAnsi="Arial"/>
          <w:color w:val="000000"/>
          <w:sz w:val="24"/>
          <w:szCs w:val="24"/>
          <w:lang w:val="es-ES_tradnl"/>
        </w:rPr>
      </w:pPr>
      <w:r w:rsidRPr="00814174">
        <w:rPr>
          <w:rFonts w:ascii="Arial" w:eastAsia="Times New Roman" w:hAnsi="Arial"/>
          <w:b/>
          <w:bCs/>
          <w:color w:val="000000"/>
          <w:sz w:val="24"/>
          <w:szCs w:val="24"/>
          <w:lang w:val="es-ES_tradnl"/>
        </w:rPr>
        <w:t>Artículo 15A. </w:t>
      </w:r>
      <w:r w:rsidRPr="00814174">
        <w:rPr>
          <w:rFonts w:ascii="Arial" w:eastAsia="Times New Roman" w:hAnsi="Arial"/>
          <w:b/>
          <w:i/>
          <w:iCs/>
          <w:color w:val="000000"/>
          <w:sz w:val="24"/>
          <w:szCs w:val="24"/>
          <w:lang w:val="es-ES_tradnl"/>
        </w:rPr>
        <w:t>Obligación de las aseguradoras.</w:t>
      </w:r>
      <w:r w:rsidRPr="004E43DD">
        <w:rPr>
          <w:rFonts w:ascii="Arial" w:eastAsia="Times New Roman" w:hAnsi="Arial"/>
          <w:color w:val="000000"/>
          <w:sz w:val="24"/>
          <w:szCs w:val="24"/>
          <w:lang w:val="es-ES_tradnl"/>
        </w:rPr>
        <w:t xml:space="preserve"> Las aseguradoras legalmente establecidas en el país, no podrán negarse a contratar las pólizas de seguros de todos los edificios o conjuntos residenciales sometidos al Régimen de Propiedad Horizontal que estos requieran, necesarias para proteger las áreas comunes de la copropiedad contra los riesgos de incendio y terremoto independiente de la antigüedad y/o sitio donde estén ubicados. </w:t>
      </w: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4E43DD">
        <w:rPr>
          <w:rFonts w:ascii="Arial" w:eastAsia="Times New Roman" w:hAnsi="Arial"/>
          <w:color w:val="000000"/>
          <w:sz w:val="24"/>
          <w:szCs w:val="24"/>
          <w:lang w:val="es-ES_tradnl"/>
        </w:rPr>
        <w:t>En caso de evidenciarse alguna causal objetiva para no cubrir la contingencia de incendio y terremoto y otras, la aseguradora deberá explicar de forma técnica la razón para no cubrir la contingencia realizando las recomendaciones para que se pueda cubrir por ellos los riesgos que por ley deben cubrirse mediante póliza</w:t>
      </w:r>
      <w:r w:rsidR="00794AE6">
        <w:rPr>
          <w:rFonts w:ascii="Arial" w:eastAsia="Times New Roman" w:hAnsi="Arial"/>
          <w:color w:val="000000"/>
          <w:sz w:val="24"/>
          <w:szCs w:val="24"/>
          <w:lang w:val="es-ES_tradnl"/>
        </w:rPr>
        <w:t>.</w:t>
      </w: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lang w:val="es-ES_tradnl"/>
        </w:rPr>
      </w:pPr>
      <w:r w:rsidRPr="00814174">
        <w:rPr>
          <w:rFonts w:ascii="Arial" w:eastAsia="Times New Roman" w:hAnsi="Arial"/>
          <w:b/>
          <w:color w:val="000000"/>
          <w:sz w:val="24"/>
          <w:szCs w:val="24"/>
          <w:lang w:val="es-ES_tradnl"/>
        </w:rPr>
        <w:t>Artículo 4°.</w:t>
      </w:r>
      <w:r w:rsidR="00794AE6">
        <w:rPr>
          <w:rFonts w:ascii="Arial" w:eastAsia="Times New Roman" w:hAnsi="Arial"/>
          <w:color w:val="000000"/>
          <w:sz w:val="24"/>
          <w:szCs w:val="24"/>
          <w:lang w:val="es-ES_tradnl"/>
        </w:rPr>
        <w:t xml:space="preserve"> Modifíquese el A</w:t>
      </w:r>
      <w:r w:rsidRPr="004E43DD">
        <w:rPr>
          <w:rFonts w:ascii="Arial" w:eastAsia="Times New Roman" w:hAnsi="Arial"/>
          <w:color w:val="000000"/>
          <w:sz w:val="24"/>
          <w:szCs w:val="24"/>
          <w:lang w:val="es-ES_tradnl"/>
        </w:rPr>
        <w:t>rtículo 50 de la Ley 675 de 2001, el cual quedará así:</w:t>
      </w: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lang w:val="es-ES_tradnl"/>
        </w:rPr>
      </w:pPr>
      <w:r>
        <w:rPr>
          <w:rFonts w:ascii="Arial" w:eastAsia="Times New Roman" w:hAnsi="Arial"/>
          <w:b/>
          <w:bCs/>
          <w:color w:val="000000"/>
          <w:sz w:val="24"/>
          <w:szCs w:val="24"/>
          <w:lang w:val="es-ES_tradnl"/>
        </w:rPr>
        <w:t xml:space="preserve">Artículo </w:t>
      </w:r>
      <w:r w:rsidRPr="00814174">
        <w:rPr>
          <w:rFonts w:ascii="Arial" w:eastAsia="Times New Roman" w:hAnsi="Arial"/>
          <w:b/>
          <w:bCs/>
          <w:color w:val="000000"/>
          <w:sz w:val="24"/>
          <w:szCs w:val="24"/>
          <w:lang w:val="es-ES_tradnl"/>
        </w:rPr>
        <w:t>50. </w:t>
      </w:r>
      <w:r w:rsidRPr="00814174">
        <w:rPr>
          <w:rFonts w:ascii="Arial" w:eastAsia="Times New Roman" w:hAnsi="Arial"/>
          <w:b/>
          <w:i/>
          <w:iCs/>
          <w:color w:val="000000"/>
          <w:sz w:val="24"/>
          <w:szCs w:val="24"/>
          <w:lang w:val="es-ES_tradnl"/>
        </w:rPr>
        <w:t>Naturaleza del administrador de propiedad horizontal.</w:t>
      </w:r>
      <w:r w:rsidRPr="004E43DD">
        <w:rPr>
          <w:rFonts w:ascii="Arial" w:eastAsia="Times New Roman" w:hAnsi="Arial"/>
          <w:bCs/>
          <w:color w:val="000000"/>
          <w:sz w:val="24"/>
          <w:szCs w:val="24"/>
          <w:lang w:val="es-ES_tradnl"/>
        </w:rPr>
        <w:t> </w:t>
      </w:r>
      <w:r w:rsidRPr="004E43DD">
        <w:rPr>
          <w:rFonts w:ascii="Arial" w:eastAsia="Times New Roman" w:hAnsi="Arial"/>
          <w:color w:val="000000"/>
          <w:sz w:val="24"/>
          <w:szCs w:val="24"/>
          <w:lang w:val="es-ES_tradnl"/>
        </w:rPr>
        <w:t>La representación legal de la persona jurídica y la administración del edificio o conjunto corresponderán a un administrador designado por la asamblea general de propietarios, en las copropiedades de uso residencial, para el periodo que se prevea en el reglamento de copropiedad. En los edificios o conjuntos de uso mixto o comercial será elegido por el Consejo de Administración. Los actos y contratos que celebre en ejercicio de sus funciones, se radican en cabeza de la persona jurídica, siempre y cuando se ajusten a las normas legales y reglamentarias.</w:t>
      </w:r>
    </w:p>
    <w:p w:rsidR="00814174" w:rsidRPr="004E43DD" w:rsidRDefault="00814174" w:rsidP="00814174">
      <w:pPr>
        <w:pStyle w:val="Sinespaciado"/>
        <w:spacing w:line="276" w:lineRule="auto"/>
        <w:jc w:val="both"/>
        <w:rPr>
          <w:rFonts w:ascii="Arial" w:hAnsi="Arial" w:cs="Arial"/>
          <w:sz w:val="24"/>
          <w:szCs w:val="24"/>
        </w:rPr>
      </w:pPr>
    </w:p>
    <w:p w:rsidR="00814174" w:rsidRPr="004E43DD" w:rsidRDefault="00814174" w:rsidP="00814174">
      <w:pPr>
        <w:pStyle w:val="Sinespaciado"/>
        <w:spacing w:line="276" w:lineRule="auto"/>
        <w:jc w:val="both"/>
        <w:rPr>
          <w:rFonts w:ascii="Arial" w:hAnsi="Arial" w:cs="Arial"/>
          <w:sz w:val="24"/>
          <w:szCs w:val="24"/>
        </w:rPr>
      </w:pPr>
      <w:r w:rsidRPr="004E43DD">
        <w:rPr>
          <w:rFonts w:ascii="Arial" w:hAnsi="Arial" w:cs="Arial"/>
          <w:sz w:val="24"/>
          <w:szCs w:val="24"/>
        </w:rPr>
        <w:lastRenderedPageBreak/>
        <w:t>Los administradores responderán por los perjuicios que, por dolo, culpa leve o grave, ocasionen a la persona jurídica, a los propietarios o a terceros. Se presumirá la culpa leve del administrador en los casos de incumplimiento o extralimitación de sus funciones, violación de la ley o del reglamento de propiedad horizontal.</w:t>
      </w:r>
    </w:p>
    <w:p w:rsidR="00814174" w:rsidRPr="004E43DD" w:rsidRDefault="00814174" w:rsidP="00814174">
      <w:pPr>
        <w:rPr>
          <w:rFonts w:ascii="Arial" w:hAnsi="Arial"/>
          <w:sz w:val="24"/>
          <w:szCs w:val="24"/>
        </w:rPr>
      </w:pPr>
    </w:p>
    <w:p w:rsidR="00814174" w:rsidRPr="004E43DD" w:rsidRDefault="00814174" w:rsidP="00814174">
      <w:pPr>
        <w:spacing w:before="57" w:after="57" w:line="288" w:lineRule="atLeast"/>
        <w:jc w:val="both"/>
        <w:rPr>
          <w:rFonts w:ascii="Arial" w:eastAsia="Times New Roman" w:hAnsi="Arial"/>
          <w:color w:val="000000"/>
          <w:sz w:val="24"/>
          <w:szCs w:val="24"/>
        </w:rPr>
      </w:pPr>
      <w:r w:rsidRPr="00814174">
        <w:rPr>
          <w:rFonts w:ascii="Arial" w:eastAsia="Times New Roman" w:hAnsi="Arial"/>
          <w:b/>
          <w:color w:val="000000"/>
          <w:sz w:val="24"/>
          <w:szCs w:val="24"/>
          <w:lang w:val="es-ES_tradnl"/>
        </w:rPr>
        <w:t>Artículo 5°</w:t>
      </w:r>
      <w:r>
        <w:rPr>
          <w:rFonts w:ascii="Arial" w:eastAsia="Times New Roman" w:hAnsi="Arial"/>
          <w:b/>
          <w:color w:val="000000"/>
          <w:sz w:val="24"/>
          <w:szCs w:val="24"/>
          <w:lang w:val="es-ES_tradnl"/>
        </w:rPr>
        <w:t xml:space="preserve">. </w:t>
      </w:r>
      <w:r w:rsidRPr="004E43DD">
        <w:rPr>
          <w:rFonts w:ascii="Arial" w:eastAsia="Times New Roman" w:hAnsi="Arial"/>
          <w:color w:val="000000"/>
          <w:sz w:val="24"/>
          <w:szCs w:val="24"/>
          <w:lang w:val="es-ES_tradnl"/>
        </w:rPr>
        <w:t xml:space="preserve">Adiciónese el </w:t>
      </w:r>
      <w:r w:rsidR="00794AE6">
        <w:rPr>
          <w:rFonts w:ascii="Arial" w:eastAsia="Times New Roman" w:hAnsi="Arial"/>
          <w:color w:val="000000"/>
          <w:sz w:val="24"/>
          <w:szCs w:val="24"/>
          <w:lang w:val="es-ES_tradnl"/>
        </w:rPr>
        <w:t>A</w:t>
      </w:r>
      <w:r w:rsidRPr="004E43DD">
        <w:rPr>
          <w:rFonts w:ascii="Arial" w:eastAsia="Times New Roman" w:hAnsi="Arial"/>
          <w:color w:val="000000"/>
          <w:sz w:val="24"/>
          <w:szCs w:val="24"/>
          <w:lang w:val="es-ES_tradnl"/>
        </w:rPr>
        <w:t>rtículo 50A, a la Ley 675 de 2001 el cual quedará de la siguiente manera:</w:t>
      </w:r>
    </w:p>
    <w:p w:rsidR="00814174" w:rsidRPr="004E43DD" w:rsidRDefault="00814174" w:rsidP="00814174">
      <w:pPr>
        <w:spacing w:before="57" w:after="57" w:line="288" w:lineRule="atLeast"/>
        <w:jc w:val="both"/>
        <w:textAlignment w:val="center"/>
        <w:rPr>
          <w:rFonts w:ascii="Arial" w:eastAsia="Times New Roman" w:hAnsi="Arial"/>
          <w:bCs/>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814174">
        <w:rPr>
          <w:rFonts w:ascii="Arial" w:eastAsia="Times New Roman" w:hAnsi="Arial"/>
          <w:b/>
          <w:bCs/>
          <w:color w:val="000000"/>
          <w:sz w:val="24"/>
          <w:szCs w:val="24"/>
          <w:lang w:val="es-ES_tradnl"/>
        </w:rPr>
        <w:t>Artículo 50A. </w:t>
      </w:r>
      <w:r w:rsidRPr="00814174">
        <w:rPr>
          <w:rFonts w:ascii="Arial" w:eastAsia="Times New Roman" w:hAnsi="Arial"/>
          <w:b/>
          <w:i/>
          <w:iCs/>
          <w:color w:val="000000"/>
          <w:sz w:val="24"/>
          <w:szCs w:val="24"/>
          <w:lang w:val="es-ES_tradnl"/>
        </w:rPr>
        <w:t>Ejercicio del administrador de propiedad horizontal</w:t>
      </w:r>
      <w:r w:rsidRPr="00814174">
        <w:rPr>
          <w:rFonts w:ascii="Arial" w:eastAsia="Times New Roman" w:hAnsi="Arial"/>
          <w:b/>
          <w:color w:val="000000"/>
          <w:sz w:val="24"/>
          <w:szCs w:val="24"/>
          <w:lang w:val="es-ES_tradnl"/>
        </w:rPr>
        <w:t>.</w:t>
      </w:r>
      <w:r w:rsidRPr="004E43DD">
        <w:rPr>
          <w:rFonts w:ascii="Arial" w:eastAsia="Times New Roman" w:hAnsi="Arial"/>
          <w:bCs/>
          <w:color w:val="000000"/>
          <w:sz w:val="24"/>
          <w:szCs w:val="24"/>
          <w:lang w:val="es-ES_tradnl"/>
        </w:rPr>
        <w:t> </w:t>
      </w:r>
      <w:r w:rsidRPr="004E43DD">
        <w:rPr>
          <w:rFonts w:ascii="Arial" w:eastAsia="Times New Roman" w:hAnsi="Arial"/>
          <w:color w:val="000000"/>
          <w:sz w:val="24"/>
          <w:szCs w:val="24"/>
          <w:lang w:val="es-ES_tradnl"/>
        </w:rPr>
        <w:t>Para ejercer como administrador de propiedad horizontal en el territorio nacional, será necesario estar inscritos en la respectiva alcaldía municipal o distrital del lugar donde se encuentre ubicada la propiedad constituida como propiedad horizontal y con el lleno de los siguientes requisitos:</w:t>
      </w: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4E43DD">
        <w:rPr>
          <w:rFonts w:ascii="Arial" w:eastAsia="Times New Roman" w:hAnsi="Arial"/>
          <w:color w:val="000000"/>
          <w:sz w:val="24"/>
          <w:szCs w:val="24"/>
          <w:lang w:val="es-ES_tradnl"/>
        </w:rPr>
        <w:t>Acreditar capacitación y formación específica en temas de propiedad Horizontal de mínimo 120 horas en una institución educativa de nivel técnico, tecnológico y/o profesional, debidamente reconocido por el Ministerio de Educación o las</w:t>
      </w:r>
      <w:r w:rsidRPr="004E43DD">
        <w:rPr>
          <w:rFonts w:ascii="Arial" w:hAnsi="Arial"/>
          <w:sz w:val="24"/>
          <w:szCs w:val="24"/>
        </w:rPr>
        <w:t xml:space="preserve"> instituciones de educación para el trabajo y el desarr</w:t>
      </w:r>
      <w:r w:rsidR="00794AE6">
        <w:rPr>
          <w:rFonts w:ascii="Arial" w:hAnsi="Arial"/>
          <w:sz w:val="24"/>
          <w:szCs w:val="24"/>
        </w:rPr>
        <w:t>ollo humano autorizadas por la S</w:t>
      </w:r>
      <w:r w:rsidRPr="004E43DD">
        <w:rPr>
          <w:rFonts w:ascii="Arial" w:hAnsi="Arial"/>
          <w:sz w:val="24"/>
          <w:szCs w:val="24"/>
        </w:rPr>
        <w:t xml:space="preserve">ecretaría de </w:t>
      </w:r>
      <w:r w:rsidR="00794AE6">
        <w:rPr>
          <w:rFonts w:ascii="Arial" w:hAnsi="Arial"/>
          <w:sz w:val="24"/>
          <w:szCs w:val="24"/>
        </w:rPr>
        <w:t>E</w:t>
      </w:r>
      <w:r w:rsidRPr="004E43DD">
        <w:rPr>
          <w:rFonts w:ascii="Arial" w:hAnsi="Arial"/>
          <w:sz w:val="24"/>
          <w:szCs w:val="24"/>
        </w:rPr>
        <w:t xml:space="preserve">ducación de la entidad territorial certificada en educación. Cuando el </w:t>
      </w:r>
      <w:r w:rsidRPr="004E43DD">
        <w:rPr>
          <w:rFonts w:ascii="Arial" w:eastAsia="Times New Roman" w:hAnsi="Arial"/>
          <w:color w:val="000000"/>
          <w:sz w:val="24"/>
          <w:szCs w:val="24"/>
          <w:lang w:val="es-ES_tradnl"/>
        </w:rPr>
        <w:t>representante legal sea una persona jurídica, su representante y la persona natural que ejerce la función de administración en la copropiedad en nombre de la persona jurídica deberán acreditar su formación en propiedad horizontal, de modo que se garantice la idoneidad en el ejercicio de administrador de propiedad horizontal.</w:t>
      </w:r>
    </w:p>
    <w:p w:rsidR="00814174" w:rsidRDefault="00814174" w:rsidP="00814174">
      <w:pPr>
        <w:spacing w:before="57" w:after="57" w:line="288" w:lineRule="atLeast"/>
        <w:jc w:val="both"/>
        <w:textAlignment w:val="center"/>
        <w:rPr>
          <w:rFonts w:ascii="Arial" w:eastAsia="Times New Roman" w:hAnsi="Arial"/>
          <w:bCs/>
          <w:color w:val="000000"/>
          <w:sz w:val="24"/>
          <w:szCs w:val="24"/>
          <w:lang w:val="es-ES_tradnl"/>
        </w:rPr>
      </w:pPr>
    </w:p>
    <w:p w:rsidR="009B5965" w:rsidRDefault="009B5965" w:rsidP="00814174">
      <w:pPr>
        <w:spacing w:before="57" w:after="57" w:line="288" w:lineRule="atLeast"/>
        <w:jc w:val="both"/>
        <w:textAlignment w:val="center"/>
        <w:rPr>
          <w:rFonts w:ascii="Arial" w:eastAsia="Times New Roman" w:hAnsi="Arial"/>
          <w:bCs/>
          <w:color w:val="000000"/>
          <w:sz w:val="24"/>
          <w:szCs w:val="24"/>
          <w:lang w:val="es-ES_tradnl"/>
        </w:rPr>
      </w:pPr>
      <w:r>
        <w:rPr>
          <w:rFonts w:ascii="Arial" w:eastAsia="Times New Roman" w:hAnsi="Arial"/>
          <w:bCs/>
          <w:color w:val="000000"/>
          <w:sz w:val="24"/>
          <w:szCs w:val="24"/>
          <w:lang w:val="es-ES_tradnl"/>
        </w:rPr>
        <w:t>El requisito de capacitación y formación específica en temas de propiedad Horizontal, será facultativo según lo disponga la asamblea de la respectiva propiedad horizontal.</w:t>
      </w:r>
    </w:p>
    <w:p w:rsidR="009B5965" w:rsidRPr="004E43DD" w:rsidRDefault="009B5965" w:rsidP="00814174">
      <w:pPr>
        <w:spacing w:before="57" w:after="57" w:line="288" w:lineRule="atLeast"/>
        <w:jc w:val="both"/>
        <w:textAlignment w:val="center"/>
        <w:rPr>
          <w:rFonts w:ascii="Arial" w:eastAsia="Times New Roman" w:hAnsi="Arial"/>
          <w:bCs/>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814174">
        <w:rPr>
          <w:rFonts w:ascii="Arial" w:eastAsia="Times New Roman" w:hAnsi="Arial"/>
          <w:b/>
          <w:bCs/>
          <w:color w:val="000000"/>
          <w:sz w:val="24"/>
          <w:szCs w:val="24"/>
          <w:lang w:val="es-ES_tradnl"/>
        </w:rPr>
        <w:t>Parágrafo</w:t>
      </w:r>
      <w:r w:rsidRPr="00814174">
        <w:rPr>
          <w:rFonts w:ascii="Arial" w:eastAsia="Times New Roman" w:hAnsi="Arial"/>
          <w:b/>
          <w:bCs/>
          <w:i/>
          <w:iCs/>
          <w:color w:val="000000"/>
          <w:sz w:val="24"/>
          <w:szCs w:val="24"/>
          <w:lang w:val="es-ES_tradnl"/>
        </w:rPr>
        <w:t xml:space="preserve"> 1</w:t>
      </w:r>
      <w:r w:rsidRPr="00814174">
        <w:rPr>
          <w:rFonts w:ascii="Arial" w:eastAsia="Times New Roman" w:hAnsi="Arial"/>
          <w:b/>
          <w:i/>
          <w:iCs/>
          <w:color w:val="000000"/>
          <w:sz w:val="24"/>
          <w:szCs w:val="24"/>
          <w:lang w:val="es-ES_tradnl"/>
        </w:rPr>
        <w:t> Transición</w:t>
      </w:r>
      <w:r w:rsidRPr="00814174">
        <w:rPr>
          <w:rFonts w:ascii="Arial" w:eastAsia="Times New Roman" w:hAnsi="Arial"/>
          <w:b/>
          <w:color w:val="000000"/>
          <w:sz w:val="24"/>
          <w:szCs w:val="24"/>
          <w:lang w:val="es-ES_tradnl"/>
        </w:rPr>
        <w:t>.</w:t>
      </w:r>
      <w:r w:rsidRPr="004E43DD">
        <w:rPr>
          <w:rFonts w:ascii="Arial" w:eastAsia="Times New Roman" w:hAnsi="Arial"/>
          <w:color w:val="000000"/>
          <w:sz w:val="24"/>
          <w:szCs w:val="24"/>
          <w:lang w:val="es-ES_tradnl"/>
        </w:rPr>
        <w:t xml:space="preserve"> La formación a que se refiere el presente artículo será homologada para las personas naturales y los representantes legales de las personas jurídicas que acrediten haber ejercido el cargo de administradores de propiedad horizontal por un lapso no inferior a tres (3) años, acreditable con las certificaciones expedidas por las alcaldías distritales, o municipales en las cuales conste su inscripción en los términos del </w:t>
      </w:r>
      <w:r w:rsidR="00794AE6">
        <w:rPr>
          <w:rFonts w:ascii="Arial" w:eastAsia="Times New Roman" w:hAnsi="Arial"/>
          <w:color w:val="000000"/>
          <w:sz w:val="24"/>
          <w:szCs w:val="24"/>
          <w:lang w:val="es-ES_tradnl"/>
        </w:rPr>
        <w:t>A</w:t>
      </w:r>
      <w:r w:rsidRPr="004E43DD">
        <w:rPr>
          <w:rFonts w:ascii="Arial" w:eastAsia="Times New Roman" w:hAnsi="Arial"/>
          <w:color w:val="000000"/>
          <w:sz w:val="24"/>
          <w:szCs w:val="24"/>
          <w:lang w:val="es-ES_tradnl"/>
        </w:rPr>
        <w:t>rtículo 8° de la Ley 675 de 2001. El plazo para efectuar la inscripción a que se refiere este artículo durante el tiempo de transición será de un máximo seis (6) meses contados a partir de la promulgación de la presente ley.</w:t>
      </w:r>
    </w:p>
    <w:p w:rsidR="00814174" w:rsidRPr="004E43DD" w:rsidRDefault="00814174" w:rsidP="00814174">
      <w:pPr>
        <w:spacing w:before="57" w:after="57" w:line="288" w:lineRule="atLeast"/>
        <w:jc w:val="both"/>
        <w:textAlignment w:val="center"/>
        <w:rPr>
          <w:rFonts w:ascii="Arial" w:eastAsia="Times New Roman" w:hAnsi="Arial"/>
          <w:bCs/>
          <w:color w:val="000000"/>
          <w:sz w:val="24"/>
          <w:szCs w:val="24"/>
          <w:lang w:val="es-ES_tradnl"/>
        </w:rPr>
      </w:pPr>
    </w:p>
    <w:p w:rsidR="00814174" w:rsidRPr="004E43DD" w:rsidRDefault="00814174" w:rsidP="00814174">
      <w:pPr>
        <w:spacing w:before="57" w:after="57" w:line="288" w:lineRule="atLeast"/>
        <w:jc w:val="both"/>
        <w:textAlignment w:val="center"/>
        <w:rPr>
          <w:rFonts w:ascii="Arial" w:eastAsia="Times New Roman" w:hAnsi="Arial"/>
          <w:color w:val="000000"/>
          <w:sz w:val="24"/>
          <w:szCs w:val="24"/>
        </w:rPr>
      </w:pPr>
      <w:r w:rsidRPr="00814174">
        <w:rPr>
          <w:rFonts w:ascii="Arial" w:eastAsia="Times New Roman" w:hAnsi="Arial"/>
          <w:b/>
          <w:bCs/>
          <w:color w:val="000000"/>
          <w:sz w:val="24"/>
          <w:szCs w:val="24"/>
          <w:lang w:val="es-ES_tradnl"/>
        </w:rPr>
        <w:t>Parágrafo 2</w:t>
      </w:r>
      <w:r w:rsidRPr="00814174">
        <w:rPr>
          <w:rFonts w:ascii="Arial" w:eastAsia="Times New Roman" w:hAnsi="Arial"/>
          <w:b/>
          <w:color w:val="000000"/>
          <w:sz w:val="24"/>
          <w:szCs w:val="24"/>
          <w:lang w:val="es-ES_tradnl"/>
        </w:rPr>
        <w:t> </w:t>
      </w:r>
      <w:r w:rsidRPr="00814174">
        <w:rPr>
          <w:rFonts w:ascii="Arial" w:eastAsia="Times New Roman" w:hAnsi="Arial"/>
          <w:b/>
          <w:i/>
          <w:iCs/>
          <w:color w:val="000000"/>
          <w:sz w:val="24"/>
          <w:szCs w:val="24"/>
          <w:lang w:val="es-ES_tradnl"/>
        </w:rPr>
        <w:t>Administrador provisional.</w:t>
      </w:r>
      <w:r w:rsidRPr="004E43DD">
        <w:rPr>
          <w:rFonts w:ascii="Arial" w:eastAsia="Times New Roman" w:hAnsi="Arial"/>
          <w:color w:val="000000"/>
          <w:sz w:val="24"/>
          <w:szCs w:val="24"/>
          <w:lang w:val="es-ES_tradnl"/>
        </w:rPr>
        <w:t xml:space="preserve"> En los términos del </w:t>
      </w:r>
      <w:r w:rsidR="00794AE6">
        <w:rPr>
          <w:rFonts w:ascii="Arial" w:eastAsia="Times New Roman" w:hAnsi="Arial"/>
          <w:color w:val="000000"/>
          <w:sz w:val="24"/>
          <w:szCs w:val="24"/>
          <w:lang w:val="es-ES_tradnl"/>
        </w:rPr>
        <w:t>A</w:t>
      </w:r>
      <w:r w:rsidRPr="004E43DD">
        <w:rPr>
          <w:rFonts w:ascii="Arial" w:eastAsia="Times New Roman" w:hAnsi="Arial"/>
          <w:color w:val="000000"/>
          <w:sz w:val="24"/>
          <w:szCs w:val="24"/>
          <w:lang w:val="es-ES_tradnl"/>
        </w:rPr>
        <w:t xml:space="preserve">rtículo 52 de la Ley 675 de 2001, cuando el propietario inicial actúe directamente como administrador provisional </w:t>
      </w:r>
      <w:r w:rsidRPr="004E43DD">
        <w:rPr>
          <w:rFonts w:ascii="Arial" w:eastAsia="Times New Roman" w:hAnsi="Arial"/>
          <w:color w:val="000000"/>
          <w:sz w:val="24"/>
          <w:szCs w:val="24"/>
          <w:lang w:val="es-ES_tradnl"/>
        </w:rPr>
        <w:lastRenderedPageBreak/>
        <w:t>del proyecto en desarrollo, no requerirá comprobar su idoneidad, pero si contrata un tercero para actuar como representante legal de la persona jurídica de la propiedad horizontal o su delegado, estos deberán acreditar su idoneidad.</w:t>
      </w:r>
    </w:p>
    <w:p w:rsidR="009B5965" w:rsidRDefault="009B5965" w:rsidP="00814174">
      <w:pPr>
        <w:spacing w:before="57" w:after="57" w:line="288" w:lineRule="atLeast"/>
        <w:jc w:val="both"/>
        <w:textAlignment w:val="center"/>
        <w:rPr>
          <w:rFonts w:ascii="Arial" w:eastAsia="Times New Roman" w:hAnsi="Arial"/>
          <w:b/>
          <w:color w:val="000000"/>
          <w:sz w:val="24"/>
          <w:szCs w:val="24"/>
          <w:lang w:val="es-ES_tradnl"/>
        </w:rPr>
      </w:pPr>
    </w:p>
    <w:p w:rsidR="00814174" w:rsidRDefault="00814174" w:rsidP="00814174">
      <w:pPr>
        <w:spacing w:before="57" w:after="57" w:line="288" w:lineRule="atLeast"/>
        <w:jc w:val="both"/>
        <w:textAlignment w:val="center"/>
        <w:rPr>
          <w:rFonts w:ascii="Arial" w:eastAsia="Times New Roman" w:hAnsi="Arial"/>
          <w:color w:val="000000"/>
          <w:sz w:val="24"/>
          <w:szCs w:val="24"/>
          <w:lang w:val="es-ES_tradnl"/>
        </w:rPr>
      </w:pPr>
      <w:r w:rsidRPr="00814174">
        <w:rPr>
          <w:rFonts w:ascii="Arial" w:eastAsia="Times New Roman" w:hAnsi="Arial"/>
          <w:b/>
          <w:color w:val="000000"/>
          <w:sz w:val="24"/>
          <w:szCs w:val="24"/>
          <w:lang w:val="es-ES_tradnl"/>
        </w:rPr>
        <w:t xml:space="preserve">Artículo </w:t>
      </w:r>
      <w:r w:rsidR="009B5965">
        <w:rPr>
          <w:rFonts w:ascii="Arial" w:eastAsia="Times New Roman" w:hAnsi="Arial"/>
          <w:b/>
          <w:color w:val="000000"/>
          <w:sz w:val="24"/>
          <w:szCs w:val="24"/>
          <w:lang w:val="es-ES_tradnl"/>
        </w:rPr>
        <w:t>6</w:t>
      </w:r>
      <w:r w:rsidRPr="009B5965">
        <w:rPr>
          <w:rFonts w:ascii="Arial" w:eastAsia="Times New Roman" w:hAnsi="Arial"/>
          <w:b/>
          <w:color w:val="000000"/>
          <w:sz w:val="24"/>
          <w:szCs w:val="24"/>
          <w:lang w:val="es-ES_tradnl"/>
        </w:rPr>
        <w:t>°.</w:t>
      </w:r>
      <w:r w:rsidRPr="0082184D">
        <w:rPr>
          <w:rFonts w:ascii="Arial" w:eastAsia="Times New Roman" w:hAnsi="Arial"/>
          <w:color w:val="000000"/>
          <w:sz w:val="24"/>
          <w:szCs w:val="24"/>
          <w:lang w:val="es-ES_tradnl"/>
        </w:rPr>
        <w:t xml:space="preserve"> Adicionase el Título IIIA, a la Ley 675 de 2001 el cual quedará de la siguiente manera:</w:t>
      </w:r>
    </w:p>
    <w:p w:rsidR="003E2827" w:rsidRPr="0082184D" w:rsidRDefault="003E2827" w:rsidP="00814174">
      <w:pPr>
        <w:spacing w:before="57" w:after="57" w:line="288" w:lineRule="atLeast"/>
        <w:jc w:val="both"/>
        <w:textAlignment w:val="center"/>
        <w:rPr>
          <w:rFonts w:ascii="Arial" w:eastAsia="Times New Roman" w:hAnsi="Arial"/>
          <w:color w:val="000000"/>
          <w:sz w:val="24"/>
          <w:szCs w:val="24"/>
        </w:rPr>
      </w:pPr>
    </w:p>
    <w:p w:rsidR="00814174" w:rsidRPr="00814174" w:rsidRDefault="00814174" w:rsidP="00814174">
      <w:pPr>
        <w:spacing w:before="57" w:after="57" w:line="288" w:lineRule="atLeast"/>
        <w:ind w:firstLine="283"/>
        <w:jc w:val="center"/>
        <w:textAlignment w:val="center"/>
        <w:rPr>
          <w:rFonts w:ascii="Arial" w:eastAsia="Times New Roman" w:hAnsi="Arial"/>
          <w:b/>
          <w:color w:val="000000"/>
          <w:sz w:val="24"/>
          <w:szCs w:val="24"/>
        </w:rPr>
      </w:pPr>
      <w:r w:rsidRPr="00814174">
        <w:rPr>
          <w:rFonts w:ascii="Arial" w:eastAsia="Times New Roman" w:hAnsi="Arial"/>
          <w:b/>
          <w:color w:val="000000"/>
          <w:sz w:val="24"/>
          <w:szCs w:val="24"/>
          <w:lang w:val="es-ES_tradnl"/>
        </w:rPr>
        <w:t>TÍTULO III A</w:t>
      </w:r>
    </w:p>
    <w:p w:rsidR="00814174" w:rsidRPr="00814174" w:rsidRDefault="00814174" w:rsidP="00814174">
      <w:pPr>
        <w:spacing w:before="57" w:after="57" w:line="288" w:lineRule="atLeast"/>
        <w:ind w:firstLine="283"/>
        <w:jc w:val="center"/>
        <w:textAlignment w:val="center"/>
        <w:rPr>
          <w:rFonts w:ascii="Arial" w:eastAsia="Times New Roman" w:hAnsi="Arial"/>
          <w:b/>
          <w:color w:val="000000"/>
          <w:sz w:val="24"/>
          <w:szCs w:val="24"/>
        </w:rPr>
      </w:pPr>
      <w:r w:rsidRPr="00814174">
        <w:rPr>
          <w:rFonts w:ascii="Arial" w:eastAsia="Times New Roman" w:hAnsi="Arial"/>
          <w:b/>
          <w:color w:val="000000"/>
          <w:sz w:val="24"/>
          <w:szCs w:val="24"/>
          <w:lang w:val="es-ES_tradnl"/>
        </w:rPr>
        <w:t>VIGILANCIA</w:t>
      </w:r>
    </w:p>
    <w:p w:rsidR="00814174" w:rsidRPr="00814174" w:rsidRDefault="00814174" w:rsidP="00814174">
      <w:pPr>
        <w:spacing w:before="57" w:after="57" w:line="288" w:lineRule="atLeast"/>
        <w:ind w:firstLine="283"/>
        <w:jc w:val="center"/>
        <w:textAlignment w:val="center"/>
        <w:rPr>
          <w:rFonts w:ascii="Arial" w:eastAsia="Times New Roman" w:hAnsi="Arial"/>
          <w:b/>
          <w:color w:val="000000"/>
          <w:sz w:val="24"/>
          <w:szCs w:val="24"/>
          <w:lang w:val="es-ES_tradnl"/>
        </w:rPr>
      </w:pPr>
      <w:r w:rsidRPr="00814174">
        <w:rPr>
          <w:rFonts w:ascii="Arial" w:eastAsia="Times New Roman" w:hAnsi="Arial"/>
          <w:b/>
          <w:color w:val="000000"/>
          <w:sz w:val="24"/>
          <w:szCs w:val="24"/>
          <w:lang w:val="es-ES_tradnl"/>
        </w:rPr>
        <w:t>CAPÍTULO I</w:t>
      </w:r>
    </w:p>
    <w:p w:rsidR="00814174" w:rsidRPr="0082184D" w:rsidRDefault="00814174" w:rsidP="00814174">
      <w:pPr>
        <w:spacing w:before="57" w:after="57" w:line="288" w:lineRule="atLeast"/>
        <w:ind w:firstLine="283"/>
        <w:jc w:val="center"/>
        <w:textAlignment w:val="center"/>
        <w:rPr>
          <w:rFonts w:ascii="Arial" w:eastAsia="Times New Roman" w:hAnsi="Arial"/>
          <w:color w:val="000000"/>
          <w:sz w:val="24"/>
          <w:szCs w:val="24"/>
        </w:rPr>
      </w:pPr>
    </w:p>
    <w:p w:rsidR="00814174" w:rsidRPr="0082184D" w:rsidRDefault="00814174" w:rsidP="00814174">
      <w:pPr>
        <w:spacing w:before="57" w:after="57" w:line="288" w:lineRule="atLeast"/>
        <w:jc w:val="both"/>
        <w:textAlignment w:val="center"/>
        <w:rPr>
          <w:rFonts w:ascii="Arial" w:eastAsia="Times New Roman" w:hAnsi="Arial"/>
          <w:color w:val="000000"/>
          <w:sz w:val="24"/>
          <w:szCs w:val="24"/>
        </w:rPr>
      </w:pPr>
      <w:r w:rsidRPr="00814174">
        <w:rPr>
          <w:rFonts w:ascii="Arial" w:eastAsia="Times New Roman" w:hAnsi="Arial"/>
          <w:b/>
          <w:color w:val="000000"/>
          <w:spacing w:val="-2"/>
          <w:sz w:val="24"/>
          <w:szCs w:val="24"/>
          <w:lang w:val="es-ES_tradnl"/>
        </w:rPr>
        <w:t>Artículo 84A. </w:t>
      </w:r>
      <w:r w:rsidRPr="00814174">
        <w:rPr>
          <w:rFonts w:ascii="Arial" w:eastAsia="Times New Roman" w:hAnsi="Arial"/>
          <w:b/>
          <w:i/>
          <w:iCs/>
          <w:color w:val="000000"/>
          <w:spacing w:val="-2"/>
          <w:sz w:val="24"/>
          <w:szCs w:val="24"/>
          <w:lang w:val="es-ES_tradnl"/>
        </w:rPr>
        <w:t>Inspección, control y vigilancia</w:t>
      </w:r>
      <w:r w:rsidRPr="00814174">
        <w:rPr>
          <w:rFonts w:ascii="Arial" w:eastAsia="Times New Roman" w:hAnsi="Arial"/>
          <w:b/>
          <w:color w:val="000000"/>
          <w:spacing w:val="-2"/>
          <w:sz w:val="24"/>
          <w:szCs w:val="24"/>
          <w:lang w:val="es-ES_tradnl"/>
        </w:rPr>
        <w:t>.</w:t>
      </w:r>
      <w:r w:rsidRPr="0082184D">
        <w:rPr>
          <w:rFonts w:ascii="Arial" w:eastAsia="Times New Roman" w:hAnsi="Arial"/>
          <w:color w:val="000000"/>
          <w:spacing w:val="-2"/>
          <w:sz w:val="24"/>
          <w:szCs w:val="24"/>
          <w:lang w:val="es-ES_tradnl"/>
        </w:rPr>
        <w:t xml:space="preserve"> Las Alcaldías Distritales o</w:t>
      </w:r>
      <w:r w:rsidR="008D20C2">
        <w:rPr>
          <w:rFonts w:ascii="Arial" w:eastAsia="Times New Roman" w:hAnsi="Arial"/>
          <w:color w:val="000000"/>
          <w:spacing w:val="-2"/>
          <w:sz w:val="24"/>
          <w:szCs w:val="24"/>
          <w:lang w:val="es-ES_tradnl"/>
        </w:rPr>
        <w:t xml:space="preserve"> Municipales, en cabeza de las S</w:t>
      </w:r>
      <w:r w:rsidRPr="0082184D">
        <w:rPr>
          <w:rFonts w:ascii="Arial" w:eastAsia="Times New Roman" w:hAnsi="Arial"/>
          <w:color w:val="000000"/>
          <w:spacing w:val="-2"/>
          <w:sz w:val="24"/>
          <w:szCs w:val="24"/>
          <w:lang w:val="es-ES_tradnl"/>
        </w:rPr>
        <w:t>ecretarias de Gobierno o quien haga sus veces, en ejercicio de sus atribuciones de inspección, vigilancia y control, desarrollarán además de los señalados en otras disposiciones que reglamente el gobierno, las siguientes funciones:</w:t>
      </w:r>
    </w:p>
    <w:p w:rsidR="00814174" w:rsidRDefault="00814174"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82184D" w:rsidRDefault="00814174" w:rsidP="00814174">
      <w:pPr>
        <w:spacing w:before="57" w:after="57" w:line="288" w:lineRule="atLeast"/>
        <w:jc w:val="both"/>
        <w:textAlignment w:val="center"/>
        <w:rPr>
          <w:rFonts w:ascii="Arial" w:eastAsia="Times New Roman" w:hAnsi="Arial"/>
          <w:color w:val="000000"/>
          <w:sz w:val="24"/>
          <w:szCs w:val="24"/>
        </w:rPr>
      </w:pPr>
      <w:r w:rsidRPr="0082184D">
        <w:rPr>
          <w:rFonts w:ascii="Arial" w:eastAsia="Times New Roman" w:hAnsi="Arial"/>
          <w:color w:val="000000"/>
          <w:sz w:val="24"/>
          <w:szCs w:val="24"/>
          <w:lang w:val="es-ES_tradnl"/>
        </w:rPr>
        <w:t>1. Inspeccionar, vigilar y controlar que todos los actores sometidos al Régimen de Propiedad Horizontal cumplan con las obligaciones señaladas en la ley, y en especial el ejercicio de los administradores de propiedad horizontal.</w:t>
      </w:r>
    </w:p>
    <w:p w:rsidR="003E2827" w:rsidRDefault="003E2827"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82184D" w:rsidRDefault="00814174" w:rsidP="00814174">
      <w:pPr>
        <w:spacing w:before="57" w:after="57" w:line="288" w:lineRule="atLeast"/>
        <w:jc w:val="both"/>
        <w:textAlignment w:val="center"/>
        <w:rPr>
          <w:rFonts w:ascii="Arial" w:eastAsia="Times New Roman" w:hAnsi="Arial"/>
          <w:color w:val="000000"/>
          <w:sz w:val="24"/>
          <w:szCs w:val="24"/>
        </w:rPr>
      </w:pPr>
      <w:r w:rsidRPr="0082184D">
        <w:rPr>
          <w:rFonts w:ascii="Arial" w:eastAsia="Times New Roman" w:hAnsi="Arial"/>
          <w:color w:val="000000"/>
          <w:sz w:val="24"/>
          <w:szCs w:val="24"/>
          <w:lang w:val="es-ES_tradnl"/>
        </w:rPr>
        <w:t xml:space="preserve">2. Señalar los procedimientos aplicables respecto de las investigaciones administrativas sancionatorias que deba surtir contra los administradores de propiedad horizontal por omisión o extralimitación, en el ejercicio de la actividad de administrador de propiedad horizontal o por la violación a las </w:t>
      </w:r>
      <w:r w:rsidR="00794AE6">
        <w:rPr>
          <w:rFonts w:ascii="Arial" w:eastAsia="Times New Roman" w:hAnsi="Arial"/>
          <w:color w:val="000000"/>
          <w:sz w:val="24"/>
          <w:szCs w:val="24"/>
          <w:lang w:val="es-ES_tradnl"/>
        </w:rPr>
        <w:t>disp</w:t>
      </w:r>
      <w:r w:rsidRPr="0082184D">
        <w:rPr>
          <w:rFonts w:ascii="Arial" w:eastAsia="Times New Roman" w:hAnsi="Arial"/>
          <w:color w:val="000000"/>
          <w:sz w:val="24"/>
          <w:szCs w:val="24"/>
          <w:lang w:val="es-ES_tradnl"/>
        </w:rPr>
        <w:t>osiciones contempladas en el régimen de propiedad horizontal Ley 675 de 2001.</w:t>
      </w:r>
    </w:p>
    <w:p w:rsidR="003E2827" w:rsidRDefault="003E2827" w:rsidP="00814174">
      <w:pPr>
        <w:spacing w:before="57" w:after="57" w:line="288" w:lineRule="atLeast"/>
        <w:jc w:val="both"/>
        <w:textAlignment w:val="center"/>
        <w:rPr>
          <w:rFonts w:ascii="Arial" w:eastAsia="Times New Roman" w:hAnsi="Arial"/>
          <w:color w:val="000000"/>
          <w:sz w:val="24"/>
          <w:szCs w:val="24"/>
          <w:lang w:val="es-ES_tradnl"/>
        </w:rPr>
      </w:pPr>
    </w:p>
    <w:p w:rsidR="00814174" w:rsidRPr="0082184D" w:rsidRDefault="00814174" w:rsidP="00814174">
      <w:pPr>
        <w:spacing w:before="57" w:after="57" w:line="288" w:lineRule="atLeast"/>
        <w:jc w:val="both"/>
        <w:textAlignment w:val="center"/>
        <w:rPr>
          <w:rFonts w:ascii="Arial" w:eastAsia="Times New Roman" w:hAnsi="Arial"/>
          <w:color w:val="000000"/>
          <w:sz w:val="24"/>
          <w:szCs w:val="24"/>
        </w:rPr>
      </w:pPr>
      <w:r w:rsidRPr="0082184D">
        <w:rPr>
          <w:rFonts w:ascii="Arial" w:eastAsia="Times New Roman" w:hAnsi="Arial"/>
          <w:color w:val="000000"/>
          <w:sz w:val="24"/>
          <w:szCs w:val="24"/>
          <w:lang w:val="es-ES_tradnl"/>
        </w:rPr>
        <w:t>3. Denunciar ante las autoridades competentes y sancionar irregularidades que se presenten en el Régimen de Propiedad Horizontal.</w:t>
      </w:r>
    </w:p>
    <w:p w:rsidR="003E2827" w:rsidRDefault="003E2827" w:rsidP="00814174">
      <w:pPr>
        <w:pStyle w:val="Sinespaciado"/>
        <w:spacing w:line="276" w:lineRule="auto"/>
        <w:jc w:val="both"/>
        <w:rPr>
          <w:rFonts w:ascii="Arial" w:hAnsi="Arial" w:cs="Arial"/>
          <w:color w:val="000000"/>
          <w:sz w:val="24"/>
          <w:szCs w:val="24"/>
          <w:lang w:val="es-ES_tradnl"/>
        </w:rPr>
      </w:pPr>
    </w:p>
    <w:p w:rsidR="00814174" w:rsidRPr="0082184D" w:rsidRDefault="00814174" w:rsidP="00814174">
      <w:pPr>
        <w:pStyle w:val="Sinespaciado"/>
        <w:spacing w:line="276" w:lineRule="auto"/>
        <w:jc w:val="both"/>
        <w:rPr>
          <w:rFonts w:ascii="Arial" w:hAnsi="Arial" w:cs="Arial"/>
          <w:color w:val="000000"/>
          <w:sz w:val="24"/>
          <w:szCs w:val="24"/>
          <w:lang w:val="es-ES_tradnl"/>
        </w:rPr>
      </w:pPr>
      <w:r w:rsidRPr="0082184D">
        <w:rPr>
          <w:rFonts w:ascii="Arial" w:hAnsi="Arial" w:cs="Arial"/>
          <w:color w:val="000000"/>
          <w:sz w:val="24"/>
          <w:szCs w:val="24"/>
          <w:lang w:val="es-ES_tradnl"/>
        </w:rPr>
        <w:t>4. Las demás que el Gobierno reglamente.</w:t>
      </w:r>
    </w:p>
    <w:p w:rsidR="00814174" w:rsidRPr="0082184D" w:rsidRDefault="00814174" w:rsidP="00814174">
      <w:pPr>
        <w:pStyle w:val="Sinespaciado"/>
        <w:spacing w:line="276" w:lineRule="auto"/>
        <w:jc w:val="both"/>
        <w:rPr>
          <w:rFonts w:ascii="Arial" w:hAnsi="Arial" w:cs="Arial"/>
          <w:color w:val="000000"/>
          <w:sz w:val="24"/>
          <w:szCs w:val="24"/>
          <w:lang w:val="es-ES_tradnl"/>
        </w:rPr>
      </w:pPr>
    </w:p>
    <w:p w:rsidR="00814174" w:rsidRPr="0082184D" w:rsidRDefault="00814174" w:rsidP="00814174">
      <w:pPr>
        <w:pStyle w:val="Sinespaciado"/>
        <w:spacing w:line="276" w:lineRule="auto"/>
        <w:jc w:val="both"/>
        <w:rPr>
          <w:rFonts w:ascii="Arial" w:hAnsi="Arial" w:cs="Arial"/>
          <w:sz w:val="24"/>
          <w:szCs w:val="24"/>
        </w:rPr>
      </w:pPr>
      <w:r w:rsidRPr="00814174">
        <w:rPr>
          <w:rFonts w:ascii="Arial" w:hAnsi="Arial" w:cs="Arial"/>
          <w:b/>
          <w:color w:val="000000"/>
          <w:sz w:val="24"/>
          <w:szCs w:val="24"/>
          <w:lang w:val="es-ES_tradnl"/>
        </w:rPr>
        <w:t xml:space="preserve">Artículo </w:t>
      </w:r>
      <w:r w:rsidR="009B5965">
        <w:rPr>
          <w:rFonts w:ascii="Arial" w:hAnsi="Arial" w:cs="Arial"/>
          <w:b/>
          <w:color w:val="000000"/>
          <w:sz w:val="24"/>
          <w:szCs w:val="24"/>
          <w:lang w:val="es-ES_tradnl"/>
        </w:rPr>
        <w:t>7</w:t>
      </w:r>
      <w:r w:rsidRPr="00814174">
        <w:rPr>
          <w:rFonts w:ascii="Arial" w:hAnsi="Arial" w:cs="Arial"/>
          <w:b/>
          <w:color w:val="000000"/>
          <w:sz w:val="24"/>
          <w:szCs w:val="24"/>
          <w:lang w:val="es-ES_tradnl"/>
        </w:rPr>
        <w:t xml:space="preserve">° </w:t>
      </w:r>
      <w:r w:rsidRPr="00814174">
        <w:rPr>
          <w:rFonts w:ascii="Arial" w:hAnsi="Arial" w:cs="Arial"/>
          <w:b/>
          <w:sz w:val="24"/>
          <w:szCs w:val="24"/>
        </w:rPr>
        <w:t>Vigencia.</w:t>
      </w:r>
      <w:r w:rsidRPr="0082184D">
        <w:rPr>
          <w:rFonts w:ascii="Arial" w:hAnsi="Arial" w:cs="Arial"/>
          <w:sz w:val="24"/>
          <w:szCs w:val="24"/>
        </w:rPr>
        <w:t xml:space="preserve"> La presente Ley rige a partir de su promulgación y deroga todas las normas que le sean contrarias.</w:t>
      </w:r>
    </w:p>
    <w:p w:rsidR="007332D1" w:rsidRDefault="007332D1" w:rsidP="007332D1">
      <w:pPr>
        <w:spacing w:after="0" w:line="240" w:lineRule="auto"/>
        <w:jc w:val="both"/>
        <w:textAlignment w:val="center"/>
        <w:rPr>
          <w:rFonts w:ascii="Arial" w:eastAsia="Times New Roman" w:hAnsi="Arial"/>
          <w:bCs/>
          <w:sz w:val="24"/>
          <w:szCs w:val="24"/>
          <w:lang w:val="es-ES_tradnl" w:eastAsia="es-CO"/>
        </w:rPr>
      </w:pPr>
    </w:p>
    <w:p w:rsidR="007332D1" w:rsidRDefault="007332D1" w:rsidP="007332D1">
      <w:pPr>
        <w:spacing w:after="0" w:line="240" w:lineRule="auto"/>
        <w:jc w:val="both"/>
        <w:textAlignment w:val="center"/>
        <w:rPr>
          <w:rFonts w:ascii="Arial" w:eastAsia="Times New Roman" w:hAnsi="Arial"/>
          <w:bCs/>
          <w:sz w:val="24"/>
          <w:szCs w:val="24"/>
          <w:lang w:val="es-ES_tradnl" w:eastAsia="es-CO"/>
        </w:rPr>
      </w:pPr>
    </w:p>
    <w:p w:rsidR="00814174" w:rsidRDefault="00814174" w:rsidP="007332D1">
      <w:pPr>
        <w:spacing w:after="0" w:line="240" w:lineRule="auto"/>
        <w:jc w:val="both"/>
        <w:textAlignment w:val="center"/>
        <w:rPr>
          <w:rFonts w:ascii="Arial" w:eastAsia="Times New Roman" w:hAnsi="Arial"/>
          <w:bCs/>
          <w:sz w:val="24"/>
          <w:szCs w:val="24"/>
          <w:lang w:val="es-ES_tradnl" w:eastAsia="es-CO"/>
        </w:rPr>
      </w:pPr>
    </w:p>
    <w:p w:rsidR="009B5965" w:rsidRDefault="009B5965" w:rsidP="007332D1">
      <w:pPr>
        <w:spacing w:after="0" w:line="240" w:lineRule="auto"/>
        <w:jc w:val="both"/>
        <w:textAlignment w:val="center"/>
        <w:rPr>
          <w:rFonts w:ascii="Arial" w:eastAsia="Times New Roman" w:hAnsi="Arial"/>
          <w:bCs/>
          <w:sz w:val="24"/>
          <w:szCs w:val="24"/>
          <w:lang w:val="es-ES_tradnl" w:eastAsia="es-CO"/>
        </w:rPr>
      </w:pPr>
    </w:p>
    <w:p w:rsidR="009B5965" w:rsidRDefault="009B5965" w:rsidP="007332D1">
      <w:pPr>
        <w:spacing w:after="0" w:line="240" w:lineRule="auto"/>
        <w:jc w:val="both"/>
        <w:textAlignment w:val="center"/>
        <w:rPr>
          <w:rFonts w:ascii="Arial" w:eastAsia="Times New Roman" w:hAnsi="Arial"/>
          <w:bCs/>
          <w:sz w:val="24"/>
          <w:szCs w:val="24"/>
          <w:lang w:val="es-ES_tradnl" w:eastAsia="es-CO"/>
        </w:rPr>
      </w:pPr>
    </w:p>
    <w:p w:rsidR="007332D1" w:rsidRPr="00CC0126" w:rsidRDefault="007332D1" w:rsidP="007332D1">
      <w:pPr>
        <w:jc w:val="both"/>
        <w:rPr>
          <w:rFonts w:ascii="Arial" w:hAnsi="Arial"/>
          <w:sz w:val="24"/>
          <w:szCs w:val="24"/>
          <w:lang w:val="es-ES" w:eastAsia="es-CO"/>
        </w:rPr>
      </w:pPr>
      <w:r w:rsidRPr="00CC0126">
        <w:rPr>
          <w:rFonts w:ascii="Arial" w:hAnsi="Arial"/>
          <w:color w:val="000000"/>
          <w:sz w:val="24"/>
          <w:szCs w:val="24"/>
          <w:lang w:eastAsia="es-CO"/>
        </w:rPr>
        <w:t xml:space="preserve">En los anteriores términos fue aprobado </w:t>
      </w:r>
      <w:r>
        <w:rPr>
          <w:rFonts w:ascii="Arial" w:hAnsi="Arial"/>
          <w:color w:val="000000"/>
          <w:sz w:val="24"/>
          <w:szCs w:val="24"/>
          <w:lang w:eastAsia="es-CO"/>
        </w:rPr>
        <w:t>co</w:t>
      </w:r>
      <w:r w:rsidR="008D20C2">
        <w:rPr>
          <w:rFonts w:ascii="Arial" w:hAnsi="Arial"/>
          <w:color w:val="000000"/>
          <w:sz w:val="24"/>
          <w:szCs w:val="24"/>
          <w:lang w:eastAsia="es-CO"/>
        </w:rPr>
        <w:t xml:space="preserve">n modificaciones </w:t>
      </w:r>
      <w:r w:rsidR="00B06221">
        <w:rPr>
          <w:rFonts w:ascii="Arial" w:hAnsi="Arial"/>
          <w:color w:val="000000"/>
          <w:sz w:val="24"/>
          <w:szCs w:val="24"/>
          <w:lang w:eastAsia="es-CO"/>
        </w:rPr>
        <w:t>el presente Pr</w:t>
      </w:r>
      <w:r w:rsidRPr="00CC0126">
        <w:rPr>
          <w:rFonts w:ascii="Arial" w:hAnsi="Arial"/>
          <w:color w:val="000000"/>
          <w:sz w:val="24"/>
          <w:szCs w:val="24"/>
          <w:lang w:eastAsia="es-CO"/>
        </w:rPr>
        <w:t xml:space="preserve">oyecto de Ley según consta en </w:t>
      </w:r>
      <w:proofErr w:type="gramStart"/>
      <w:r w:rsidRPr="00CC0126">
        <w:rPr>
          <w:rFonts w:ascii="Arial" w:hAnsi="Arial"/>
          <w:color w:val="000000"/>
          <w:sz w:val="24"/>
          <w:szCs w:val="24"/>
          <w:lang w:eastAsia="es-CO"/>
        </w:rPr>
        <w:t>Acta  No</w:t>
      </w:r>
      <w:proofErr w:type="gramEnd"/>
      <w:r w:rsidRPr="00CC0126">
        <w:rPr>
          <w:rFonts w:ascii="Arial" w:hAnsi="Arial"/>
          <w:color w:val="000000"/>
          <w:sz w:val="24"/>
          <w:szCs w:val="24"/>
          <w:lang w:eastAsia="es-CO"/>
        </w:rPr>
        <w:t xml:space="preserve">. </w:t>
      </w:r>
      <w:r>
        <w:rPr>
          <w:rFonts w:ascii="Arial" w:hAnsi="Arial"/>
          <w:color w:val="000000"/>
          <w:sz w:val="24"/>
          <w:szCs w:val="24"/>
          <w:lang w:eastAsia="es-CO"/>
        </w:rPr>
        <w:t>4</w:t>
      </w:r>
      <w:r w:rsidR="00814174">
        <w:rPr>
          <w:rFonts w:ascii="Arial" w:hAnsi="Arial"/>
          <w:color w:val="000000"/>
          <w:sz w:val="24"/>
          <w:szCs w:val="24"/>
          <w:lang w:eastAsia="es-CO"/>
        </w:rPr>
        <w:t>2</w:t>
      </w:r>
      <w:r w:rsidRPr="00CC0126">
        <w:rPr>
          <w:rFonts w:ascii="Arial" w:hAnsi="Arial"/>
          <w:color w:val="000000"/>
          <w:sz w:val="24"/>
          <w:szCs w:val="24"/>
          <w:lang w:eastAsia="es-CO"/>
        </w:rPr>
        <w:t xml:space="preserve"> de mayo </w:t>
      </w:r>
      <w:r>
        <w:rPr>
          <w:rFonts w:ascii="Arial" w:hAnsi="Arial"/>
          <w:color w:val="000000"/>
          <w:sz w:val="24"/>
          <w:szCs w:val="24"/>
          <w:lang w:eastAsia="es-CO"/>
        </w:rPr>
        <w:t>3</w:t>
      </w:r>
      <w:r w:rsidR="00814174">
        <w:rPr>
          <w:rFonts w:ascii="Arial" w:hAnsi="Arial"/>
          <w:color w:val="000000"/>
          <w:sz w:val="24"/>
          <w:szCs w:val="24"/>
          <w:lang w:eastAsia="es-CO"/>
        </w:rPr>
        <w:t>0</w:t>
      </w:r>
      <w:r w:rsidRPr="00CC0126">
        <w:rPr>
          <w:rFonts w:ascii="Arial" w:hAnsi="Arial"/>
          <w:color w:val="000000"/>
          <w:sz w:val="24"/>
          <w:szCs w:val="24"/>
          <w:lang w:eastAsia="es-CO"/>
        </w:rPr>
        <w:t xml:space="preserve"> de 2017. </w:t>
      </w:r>
      <w:r w:rsidRPr="00CC0126">
        <w:rPr>
          <w:rFonts w:ascii="Arial" w:hAnsi="Arial"/>
          <w:color w:val="000000"/>
          <w:sz w:val="24"/>
          <w:szCs w:val="24"/>
          <w:lang w:val="es-ES" w:eastAsia="es-CO"/>
        </w:rPr>
        <w:t xml:space="preserve">Anunciado entre otras fechas el </w:t>
      </w:r>
      <w:r w:rsidR="00814174">
        <w:rPr>
          <w:rFonts w:ascii="Arial" w:hAnsi="Arial"/>
          <w:color w:val="000000"/>
          <w:sz w:val="24"/>
          <w:szCs w:val="24"/>
          <w:lang w:val="es-ES" w:eastAsia="es-CO"/>
        </w:rPr>
        <w:t>23</w:t>
      </w:r>
      <w:r w:rsidRPr="00CC0126">
        <w:rPr>
          <w:rFonts w:ascii="Arial" w:hAnsi="Arial"/>
          <w:color w:val="000000"/>
          <w:sz w:val="24"/>
          <w:szCs w:val="24"/>
          <w:lang w:val="es-ES" w:eastAsia="es-CO"/>
        </w:rPr>
        <w:t xml:space="preserve"> de mayo de 2017 según consta en el Acta No. </w:t>
      </w:r>
      <w:r w:rsidR="00814174">
        <w:rPr>
          <w:rFonts w:ascii="Arial" w:hAnsi="Arial"/>
          <w:color w:val="000000"/>
          <w:sz w:val="24"/>
          <w:szCs w:val="24"/>
          <w:lang w:val="es-ES" w:eastAsia="es-CO"/>
        </w:rPr>
        <w:t>41</w:t>
      </w:r>
      <w:r w:rsidRPr="00CC0126">
        <w:rPr>
          <w:rFonts w:ascii="Arial" w:hAnsi="Arial"/>
          <w:color w:val="000000"/>
          <w:sz w:val="24"/>
          <w:szCs w:val="24"/>
          <w:lang w:val="es-ES" w:eastAsia="es-CO"/>
        </w:rPr>
        <w:t xml:space="preserve"> de la misma fecha.  </w:t>
      </w:r>
    </w:p>
    <w:p w:rsidR="007332D1" w:rsidRDefault="007332D1" w:rsidP="007332D1">
      <w:pPr>
        <w:spacing w:after="0" w:line="240" w:lineRule="auto"/>
        <w:rPr>
          <w:rFonts w:ascii="Arial" w:hAnsi="Arial"/>
          <w:b/>
          <w:color w:val="000000"/>
          <w:sz w:val="24"/>
          <w:szCs w:val="24"/>
          <w:lang w:eastAsia="es-CO"/>
        </w:rPr>
      </w:pPr>
    </w:p>
    <w:p w:rsidR="008D20C2" w:rsidRPr="00CC0126" w:rsidRDefault="008D20C2" w:rsidP="007332D1">
      <w:pPr>
        <w:spacing w:after="0" w:line="240" w:lineRule="auto"/>
        <w:rPr>
          <w:rFonts w:ascii="Arial" w:hAnsi="Arial"/>
          <w:b/>
          <w:color w:val="000000"/>
          <w:sz w:val="24"/>
          <w:szCs w:val="24"/>
          <w:lang w:eastAsia="es-CO"/>
        </w:rPr>
      </w:pPr>
    </w:p>
    <w:p w:rsidR="007332D1" w:rsidRDefault="007332D1" w:rsidP="007332D1">
      <w:pPr>
        <w:spacing w:after="0" w:line="240" w:lineRule="auto"/>
        <w:rPr>
          <w:rFonts w:ascii="Arial" w:hAnsi="Arial"/>
          <w:b/>
          <w:color w:val="000000"/>
          <w:sz w:val="24"/>
          <w:szCs w:val="24"/>
          <w:lang w:eastAsia="es-CO"/>
        </w:rPr>
      </w:pPr>
    </w:p>
    <w:p w:rsidR="00814174" w:rsidRPr="00CC0126" w:rsidRDefault="00814174" w:rsidP="007332D1">
      <w:pPr>
        <w:spacing w:after="0" w:line="240" w:lineRule="auto"/>
        <w:rPr>
          <w:rFonts w:ascii="Arial" w:hAnsi="Arial"/>
          <w:b/>
          <w:color w:val="000000"/>
          <w:sz w:val="24"/>
          <w:szCs w:val="24"/>
          <w:lang w:eastAsia="es-CO"/>
        </w:rPr>
      </w:pPr>
    </w:p>
    <w:p w:rsidR="007332D1" w:rsidRPr="00CC0126" w:rsidRDefault="00814174" w:rsidP="007332D1">
      <w:pPr>
        <w:spacing w:after="0" w:line="240" w:lineRule="auto"/>
        <w:rPr>
          <w:rFonts w:ascii="Arial" w:hAnsi="Arial"/>
          <w:b/>
          <w:color w:val="000000"/>
          <w:sz w:val="24"/>
          <w:szCs w:val="24"/>
          <w:lang w:eastAsia="es-CO"/>
        </w:rPr>
      </w:pPr>
      <w:r>
        <w:rPr>
          <w:rFonts w:ascii="Arial" w:hAnsi="Arial"/>
          <w:b/>
          <w:color w:val="000000"/>
          <w:sz w:val="24"/>
          <w:szCs w:val="24"/>
          <w:lang w:eastAsia="es-CO"/>
        </w:rPr>
        <w:t>OSCAR SÁNCHEZ LEÓN</w:t>
      </w:r>
      <w:r>
        <w:rPr>
          <w:rFonts w:ascii="Arial" w:hAnsi="Arial"/>
          <w:b/>
          <w:color w:val="000000"/>
          <w:sz w:val="24"/>
          <w:szCs w:val="24"/>
          <w:lang w:eastAsia="es-CO"/>
        </w:rPr>
        <w:tab/>
      </w:r>
      <w:r>
        <w:rPr>
          <w:rFonts w:ascii="Arial" w:hAnsi="Arial"/>
          <w:b/>
          <w:color w:val="000000"/>
          <w:sz w:val="24"/>
          <w:szCs w:val="24"/>
          <w:lang w:eastAsia="es-CO"/>
        </w:rPr>
        <w:tab/>
      </w:r>
      <w:r w:rsidR="00AC5F5A">
        <w:rPr>
          <w:rFonts w:ascii="Arial" w:hAnsi="Arial"/>
          <w:b/>
          <w:color w:val="000000"/>
          <w:sz w:val="24"/>
          <w:szCs w:val="24"/>
          <w:lang w:eastAsia="es-CO"/>
        </w:rPr>
        <w:tab/>
      </w:r>
      <w:r w:rsidR="007332D1" w:rsidRPr="00CC0126">
        <w:rPr>
          <w:rFonts w:ascii="Arial" w:hAnsi="Arial"/>
          <w:b/>
          <w:color w:val="000000"/>
          <w:sz w:val="24"/>
          <w:szCs w:val="24"/>
          <w:lang w:eastAsia="es-CO"/>
        </w:rPr>
        <w:tab/>
        <w:t>TELESFORO PEDRAZA ORTEGA</w:t>
      </w:r>
    </w:p>
    <w:p w:rsidR="007332D1" w:rsidRPr="00CC0126" w:rsidRDefault="007332D1" w:rsidP="007332D1">
      <w:pPr>
        <w:spacing w:after="0" w:line="240" w:lineRule="auto"/>
        <w:rPr>
          <w:rFonts w:ascii="Arial" w:hAnsi="Arial"/>
          <w:color w:val="000000"/>
          <w:sz w:val="24"/>
          <w:szCs w:val="24"/>
          <w:lang w:eastAsia="es-CO"/>
        </w:rPr>
      </w:pPr>
      <w:r w:rsidRPr="00CC0126">
        <w:rPr>
          <w:rFonts w:ascii="Arial" w:hAnsi="Arial"/>
          <w:color w:val="000000"/>
          <w:sz w:val="24"/>
          <w:szCs w:val="24"/>
          <w:lang w:eastAsia="es-CO"/>
        </w:rPr>
        <w:t>Coordinador Ponente</w:t>
      </w:r>
      <w:r w:rsidRPr="00CC0126">
        <w:rPr>
          <w:rFonts w:ascii="Arial" w:hAnsi="Arial"/>
          <w:color w:val="000000"/>
          <w:sz w:val="24"/>
          <w:szCs w:val="24"/>
          <w:lang w:eastAsia="es-CO"/>
        </w:rPr>
        <w:tab/>
      </w:r>
      <w:r w:rsidRPr="00CC0126">
        <w:rPr>
          <w:rFonts w:ascii="Arial" w:hAnsi="Arial"/>
          <w:color w:val="000000"/>
          <w:sz w:val="24"/>
          <w:szCs w:val="24"/>
          <w:lang w:eastAsia="es-CO"/>
        </w:rPr>
        <w:tab/>
      </w:r>
      <w:r w:rsidRPr="00CC0126">
        <w:rPr>
          <w:rFonts w:ascii="Arial" w:hAnsi="Arial"/>
          <w:color w:val="000000"/>
          <w:sz w:val="24"/>
          <w:szCs w:val="24"/>
          <w:lang w:eastAsia="es-CO"/>
        </w:rPr>
        <w:tab/>
        <w:t xml:space="preserve">           Presidente</w:t>
      </w:r>
    </w:p>
    <w:p w:rsidR="007332D1" w:rsidRDefault="007332D1" w:rsidP="007332D1">
      <w:pPr>
        <w:spacing w:after="0" w:line="240" w:lineRule="auto"/>
        <w:rPr>
          <w:rFonts w:ascii="Arial" w:hAnsi="Arial"/>
          <w:color w:val="000000"/>
          <w:sz w:val="24"/>
          <w:szCs w:val="24"/>
          <w:lang w:eastAsia="es-CO"/>
        </w:rPr>
      </w:pPr>
    </w:p>
    <w:p w:rsidR="00696A3D" w:rsidRPr="00CC0126" w:rsidRDefault="00696A3D" w:rsidP="007332D1">
      <w:pPr>
        <w:spacing w:after="0" w:line="240" w:lineRule="auto"/>
        <w:rPr>
          <w:rFonts w:ascii="Arial" w:hAnsi="Arial"/>
          <w:color w:val="000000"/>
          <w:sz w:val="24"/>
          <w:szCs w:val="24"/>
          <w:lang w:eastAsia="es-CO"/>
        </w:rPr>
      </w:pPr>
    </w:p>
    <w:p w:rsidR="007332D1" w:rsidRPr="00CC0126" w:rsidRDefault="007332D1" w:rsidP="007332D1">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w:t>
      </w:r>
    </w:p>
    <w:p w:rsidR="007332D1" w:rsidRPr="00CC0126" w:rsidRDefault="007332D1" w:rsidP="007332D1">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AMPARO YANETH CALDERON PERDOMO</w:t>
      </w:r>
    </w:p>
    <w:p w:rsidR="00CC0126" w:rsidRPr="009B0330" w:rsidRDefault="007332D1" w:rsidP="00696A3D">
      <w:pPr>
        <w:spacing w:after="0" w:line="240" w:lineRule="auto"/>
        <w:ind w:firstLine="708"/>
        <w:rPr>
          <w:rFonts w:ascii="Arial" w:eastAsia="Times New Roman" w:hAnsi="Arial"/>
          <w:b/>
          <w:bCs/>
          <w:sz w:val="24"/>
          <w:szCs w:val="24"/>
          <w:lang w:eastAsia="es-CO"/>
        </w:rPr>
      </w:pPr>
      <w:r w:rsidRPr="00CC0126">
        <w:rPr>
          <w:rFonts w:ascii="Arial" w:hAnsi="Arial"/>
          <w:color w:val="000000"/>
          <w:sz w:val="24"/>
          <w:szCs w:val="24"/>
          <w:lang w:eastAsia="es-CO"/>
        </w:rPr>
        <w:t xml:space="preserve">                          Secretaria Comisión Primera Constitucional</w:t>
      </w:r>
      <w:bookmarkStart w:id="0" w:name="_GoBack"/>
      <w:bookmarkEnd w:id="0"/>
    </w:p>
    <w:sectPr w:rsidR="00CC0126" w:rsidRPr="009B0330" w:rsidSect="00C936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E9" w:rsidRDefault="00DC17E9" w:rsidP="003A5135">
      <w:pPr>
        <w:spacing w:after="0" w:line="240" w:lineRule="auto"/>
      </w:pPr>
      <w:r>
        <w:separator/>
      </w:r>
    </w:p>
  </w:endnote>
  <w:endnote w:type="continuationSeparator" w:id="0">
    <w:p w:rsidR="00DC17E9" w:rsidRDefault="00DC17E9" w:rsidP="003A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38489"/>
      <w:docPartObj>
        <w:docPartGallery w:val="Page Numbers (Bottom of Page)"/>
        <w:docPartUnique/>
      </w:docPartObj>
    </w:sdtPr>
    <w:sdtEndPr/>
    <w:sdtContent>
      <w:p w:rsidR="009319CE" w:rsidRDefault="009319CE">
        <w:pPr>
          <w:pStyle w:val="Piedepgina"/>
          <w:jc w:val="right"/>
        </w:pPr>
        <w:r>
          <w:fldChar w:fldCharType="begin"/>
        </w:r>
        <w:r>
          <w:instrText>PAGE   \* MERGEFORMAT</w:instrText>
        </w:r>
        <w:r>
          <w:fldChar w:fldCharType="separate"/>
        </w:r>
        <w:r w:rsidR="00C83852" w:rsidRPr="00C83852">
          <w:rPr>
            <w:noProof/>
            <w:lang w:val="es-ES"/>
          </w:rPr>
          <w:t>5</w:t>
        </w:r>
        <w:r>
          <w:fldChar w:fldCharType="end"/>
        </w:r>
      </w:p>
    </w:sdtContent>
  </w:sdt>
  <w:p w:rsidR="009319CE" w:rsidRDefault="00931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E9" w:rsidRDefault="00DC17E9" w:rsidP="003A5135">
      <w:pPr>
        <w:spacing w:after="0" w:line="240" w:lineRule="auto"/>
      </w:pPr>
      <w:r>
        <w:separator/>
      </w:r>
    </w:p>
  </w:footnote>
  <w:footnote w:type="continuationSeparator" w:id="0">
    <w:p w:rsidR="00DC17E9" w:rsidRDefault="00DC17E9" w:rsidP="003A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E1" w:rsidRDefault="00647EE1" w:rsidP="00647EE1">
    <w:pPr>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FE14F2">
      <w:rPr>
        <w:b/>
      </w:rPr>
      <w:fldChar w:fldCharType="begin"/>
    </w:r>
    <w:r w:rsidR="00FE14F2">
      <w:rPr>
        <w:b/>
      </w:rPr>
      <w:instrText xml:space="preserve"> INCLUDEPICTURE  "http://entrecomillas.com.co/wp-content/uploads/2014/09/logo_20congreso_1.png" \* MERGEFORMATINET </w:instrText>
    </w:r>
    <w:r w:rsidR="00FE14F2">
      <w:rPr>
        <w:b/>
      </w:rPr>
      <w:fldChar w:fldCharType="separate"/>
    </w:r>
    <w:r w:rsidR="00201425">
      <w:rPr>
        <w:b/>
      </w:rPr>
      <w:fldChar w:fldCharType="begin"/>
    </w:r>
    <w:r w:rsidR="00201425">
      <w:rPr>
        <w:b/>
      </w:rPr>
      <w:instrText xml:space="preserve"> INCLUDEPICTURE  "http://entrecomillas.com.co/wp-content/uploads/2014/09/logo_20congreso_1.png" \* MERGEFORMATINET </w:instrText>
    </w:r>
    <w:r w:rsidR="00201425">
      <w:rPr>
        <w:b/>
      </w:rPr>
      <w:fldChar w:fldCharType="separate"/>
    </w:r>
    <w:r w:rsidR="00767F0D">
      <w:rPr>
        <w:b/>
      </w:rPr>
      <w:fldChar w:fldCharType="begin"/>
    </w:r>
    <w:r w:rsidR="00767F0D">
      <w:rPr>
        <w:b/>
      </w:rPr>
      <w:instrText xml:space="preserve"> INCLUDEPICTURE  "http://entrecomillas.com.co/wp-content/uploads/2014/09/logo_20congreso_1.png" \* MERGEFORMATINET </w:instrText>
    </w:r>
    <w:r w:rsidR="00767F0D">
      <w:rPr>
        <w:b/>
      </w:rPr>
      <w:fldChar w:fldCharType="separate"/>
    </w:r>
    <w:r w:rsidR="00E37F1F">
      <w:rPr>
        <w:b/>
      </w:rPr>
      <w:fldChar w:fldCharType="begin"/>
    </w:r>
    <w:r w:rsidR="00E37F1F">
      <w:rPr>
        <w:b/>
      </w:rPr>
      <w:instrText xml:space="preserve"> INCLUDEPICTURE  "http://entrecomillas.com.co/wp-content/uploads/2014/09/logo_20congreso_1.png" \* MERGEFORMATINET </w:instrText>
    </w:r>
    <w:r w:rsidR="00E37F1F">
      <w:rPr>
        <w:b/>
      </w:rPr>
      <w:fldChar w:fldCharType="separate"/>
    </w:r>
    <w:r w:rsidR="00802B25">
      <w:rPr>
        <w:b/>
      </w:rPr>
      <w:fldChar w:fldCharType="begin"/>
    </w:r>
    <w:r w:rsidR="00802B25">
      <w:rPr>
        <w:b/>
      </w:rPr>
      <w:instrText xml:space="preserve"> INCLUDEPICTURE  "http://entrecomillas.com.co/wp-content/uploads/2014/09/logo_20congreso_1.png" \* MERGEFORMATINET </w:instrText>
    </w:r>
    <w:r w:rsidR="00802B25">
      <w:rPr>
        <w:b/>
      </w:rPr>
      <w:fldChar w:fldCharType="separate"/>
    </w:r>
    <w:r w:rsidR="00B52A9A">
      <w:rPr>
        <w:b/>
      </w:rPr>
      <w:fldChar w:fldCharType="begin"/>
    </w:r>
    <w:r w:rsidR="00B52A9A">
      <w:rPr>
        <w:b/>
      </w:rPr>
      <w:instrText xml:space="preserve"> INCLUDEPICTURE  "http://entrecomillas.com.co/wp-content/uploads/2014/09/logo_20congreso_1.png" \* MERGEFORMATINET </w:instrText>
    </w:r>
    <w:r w:rsidR="00B52A9A">
      <w:rPr>
        <w:b/>
      </w:rPr>
      <w:fldChar w:fldCharType="separate"/>
    </w:r>
    <w:r w:rsidR="009E6017">
      <w:rPr>
        <w:b/>
      </w:rPr>
      <w:fldChar w:fldCharType="begin"/>
    </w:r>
    <w:r w:rsidR="009E6017">
      <w:rPr>
        <w:b/>
      </w:rPr>
      <w:instrText xml:space="preserve"> INCLUDEPICTURE  "http://entrecomillas.com.co/wp-content/uploads/2014/09/logo_20congreso_1.png" \* MERGEFORMATINET </w:instrText>
    </w:r>
    <w:r w:rsidR="009E6017">
      <w:rPr>
        <w:b/>
      </w:rPr>
      <w:fldChar w:fldCharType="separate"/>
    </w:r>
    <w:r w:rsidR="00095A4C">
      <w:rPr>
        <w:b/>
      </w:rPr>
      <w:fldChar w:fldCharType="begin"/>
    </w:r>
    <w:r w:rsidR="00095A4C">
      <w:rPr>
        <w:b/>
      </w:rPr>
      <w:instrText xml:space="preserve"> INCLUDEPICTURE  "http://entrecomillas.com.co/wp-content/uploads/2014/09/logo_20congreso_1.png" \* MERGEFORMATINET </w:instrText>
    </w:r>
    <w:r w:rsidR="00095A4C">
      <w:rPr>
        <w:b/>
      </w:rPr>
      <w:fldChar w:fldCharType="separate"/>
    </w:r>
    <w:r w:rsidR="00156819">
      <w:rPr>
        <w:b/>
      </w:rPr>
      <w:fldChar w:fldCharType="begin"/>
    </w:r>
    <w:r w:rsidR="00156819">
      <w:rPr>
        <w:b/>
      </w:rPr>
      <w:instrText xml:space="preserve"> INCLUDEPICTURE  "http://entrecomillas.com.co/wp-content/uploads/2014/09/logo_20congreso_1.png" \* MERGEFORMATINET </w:instrText>
    </w:r>
    <w:r w:rsidR="00156819">
      <w:rPr>
        <w:b/>
      </w:rPr>
      <w:fldChar w:fldCharType="separate"/>
    </w:r>
    <w:r w:rsidR="00DE4193">
      <w:rPr>
        <w:b/>
      </w:rPr>
      <w:fldChar w:fldCharType="begin"/>
    </w:r>
    <w:r w:rsidR="00DE4193">
      <w:rPr>
        <w:b/>
      </w:rPr>
      <w:instrText xml:space="preserve"> INCLUDEPICTURE  "http://entrecomillas.com.co/wp-content/uploads/2014/09/logo_20congreso_1.png" \* MERGEFORMATINET </w:instrText>
    </w:r>
    <w:r w:rsidR="00DE4193">
      <w:rPr>
        <w:b/>
      </w:rPr>
      <w:fldChar w:fldCharType="separate"/>
    </w:r>
    <w:r w:rsidR="00DC17E9">
      <w:rPr>
        <w:b/>
      </w:rPr>
      <w:fldChar w:fldCharType="begin"/>
    </w:r>
    <w:r w:rsidR="00DC17E9">
      <w:rPr>
        <w:b/>
      </w:rPr>
      <w:instrText xml:space="preserve"> </w:instrText>
    </w:r>
    <w:r w:rsidR="00DC17E9">
      <w:rPr>
        <w:b/>
      </w:rPr>
      <w:instrText>INCLUDEPICTURE  "http://entrecomillas.com.co/wp-content/uploads/2014/09/logo_20congreso_1.png" \* MERGEFORMATINET</w:instrText>
    </w:r>
    <w:r w:rsidR="00DC17E9">
      <w:rPr>
        <w:b/>
      </w:rPr>
      <w:instrText xml:space="preserve"> </w:instrText>
    </w:r>
    <w:r w:rsidR="00DC17E9">
      <w:rPr>
        <w:b/>
      </w:rPr>
      <w:fldChar w:fldCharType="separate"/>
    </w:r>
    <w:r w:rsidR="00C8385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9pt;height:69.95pt">
          <v:imagedata r:id="rId1" r:href="rId2"/>
        </v:shape>
      </w:pict>
    </w:r>
    <w:r w:rsidR="00DC17E9">
      <w:rPr>
        <w:b/>
      </w:rPr>
      <w:fldChar w:fldCharType="end"/>
    </w:r>
    <w:r w:rsidR="00DE4193">
      <w:rPr>
        <w:b/>
      </w:rPr>
      <w:fldChar w:fldCharType="end"/>
    </w:r>
    <w:r w:rsidR="00156819">
      <w:rPr>
        <w:b/>
      </w:rPr>
      <w:fldChar w:fldCharType="end"/>
    </w:r>
    <w:r w:rsidR="00095A4C">
      <w:rPr>
        <w:b/>
      </w:rPr>
      <w:fldChar w:fldCharType="end"/>
    </w:r>
    <w:r w:rsidR="009E6017">
      <w:rPr>
        <w:b/>
      </w:rPr>
      <w:fldChar w:fldCharType="end"/>
    </w:r>
    <w:r w:rsidR="00B52A9A">
      <w:rPr>
        <w:b/>
      </w:rPr>
      <w:fldChar w:fldCharType="end"/>
    </w:r>
    <w:r w:rsidR="00802B25">
      <w:rPr>
        <w:b/>
      </w:rPr>
      <w:fldChar w:fldCharType="end"/>
    </w:r>
    <w:r w:rsidR="00E37F1F">
      <w:rPr>
        <w:b/>
      </w:rPr>
      <w:fldChar w:fldCharType="end"/>
    </w:r>
    <w:r w:rsidR="00767F0D">
      <w:rPr>
        <w:b/>
      </w:rPr>
      <w:fldChar w:fldCharType="end"/>
    </w:r>
    <w:r w:rsidR="00201425">
      <w:rPr>
        <w:b/>
      </w:rPr>
      <w:fldChar w:fldCharType="end"/>
    </w:r>
    <w:r w:rsidR="00FE14F2">
      <w:rPr>
        <w:b/>
      </w:rPr>
      <w:fldChar w:fldCharType="end"/>
    </w:r>
    <w:r>
      <w:rPr>
        <w:b/>
      </w:rPr>
      <w:fldChar w:fldCharType="end"/>
    </w:r>
    <w:r w:rsidRPr="00E775AA">
      <w:rPr>
        <w:b/>
      </w:rPr>
      <w:fldChar w:fldCharType="end"/>
    </w:r>
  </w:p>
  <w:p w:rsidR="0055272C" w:rsidRDefault="0055272C" w:rsidP="00851E2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773"/>
    <w:multiLevelType w:val="hybridMultilevel"/>
    <w:tmpl w:val="614AE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D26CEE"/>
    <w:multiLevelType w:val="hybridMultilevel"/>
    <w:tmpl w:val="8780E35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C504E3"/>
    <w:multiLevelType w:val="hybridMultilevel"/>
    <w:tmpl w:val="629099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6F3061"/>
    <w:multiLevelType w:val="hybridMultilevel"/>
    <w:tmpl w:val="6BD89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1D14B1"/>
    <w:multiLevelType w:val="hybridMultilevel"/>
    <w:tmpl w:val="035AD9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0E2A72"/>
    <w:multiLevelType w:val="hybridMultilevel"/>
    <w:tmpl w:val="055E4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7B64A9"/>
    <w:multiLevelType w:val="hybridMultilevel"/>
    <w:tmpl w:val="C9263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683D26"/>
    <w:multiLevelType w:val="hybridMultilevel"/>
    <w:tmpl w:val="78EA2D6E"/>
    <w:lvl w:ilvl="0" w:tplc="52563C1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6C61A7"/>
    <w:multiLevelType w:val="hybridMultilevel"/>
    <w:tmpl w:val="1C80CB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800198"/>
    <w:multiLevelType w:val="hybridMultilevel"/>
    <w:tmpl w:val="BB202D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9530A9"/>
    <w:multiLevelType w:val="hybridMultilevel"/>
    <w:tmpl w:val="FA1C918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39625CC"/>
    <w:multiLevelType w:val="multilevel"/>
    <w:tmpl w:val="7168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72784"/>
    <w:multiLevelType w:val="hybridMultilevel"/>
    <w:tmpl w:val="68EA5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F930F91"/>
    <w:multiLevelType w:val="hybridMultilevel"/>
    <w:tmpl w:val="9DF2E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7AE070C"/>
    <w:multiLevelType w:val="hybridMultilevel"/>
    <w:tmpl w:val="14E60206"/>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E176DB4"/>
    <w:multiLevelType w:val="hybridMultilevel"/>
    <w:tmpl w:val="D932EA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6A2C6A47"/>
    <w:multiLevelType w:val="hybridMultilevel"/>
    <w:tmpl w:val="D4EC0E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A910D48"/>
    <w:multiLevelType w:val="hybridMultilevel"/>
    <w:tmpl w:val="5FF6C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C95E34"/>
    <w:multiLevelType w:val="hybridMultilevel"/>
    <w:tmpl w:val="80A23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C4F6628"/>
    <w:multiLevelType w:val="hybridMultilevel"/>
    <w:tmpl w:val="925C71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D6502CE"/>
    <w:multiLevelType w:val="hybridMultilevel"/>
    <w:tmpl w:val="FD0429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7446E4"/>
    <w:multiLevelType w:val="hybridMultilevel"/>
    <w:tmpl w:val="AD6A43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9106B0"/>
    <w:multiLevelType w:val="multilevel"/>
    <w:tmpl w:val="9082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3E01CF"/>
    <w:multiLevelType w:val="hybridMultilevel"/>
    <w:tmpl w:val="150A7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2"/>
  </w:num>
  <w:num w:numId="5">
    <w:abstractNumId w:val="1"/>
  </w:num>
  <w:num w:numId="6">
    <w:abstractNumId w:val="14"/>
  </w:num>
  <w:num w:numId="7">
    <w:abstractNumId w:val="9"/>
  </w:num>
  <w:num w:numId="8">
    <w:abstractNumId w:val="21"/>
  </w:num>
  <w:num w:numId="9">
    <w:abstractNumId w:val="19"/>
  </w:num>
  <w:num w:numId="10">
    <w:abstractNumId w:val="16"/>
  </w:num>
  <w:num w:numId="11">
    <w:abstractNumId w:val="23"/>
  </w:num>
  <w:num w:numId="12">
    <w:abstractNumId w:val="3"/>
  </w:num>
  <w:num w:numId="13">
    <w:abstractNumId w:val="8"/>
  </w:num>
  <w:num w:numId="14">
    <w:abstractNumId w:val="12"/>
  </w:num>
  <w:num w:numId="15">
    <w:abstractNumId w:val="15"/>
  </w:num>
  <w:num w:numId="16">
    <w:abstractNumId w:val="24"/>
  </w:num>
  <w:num w:numId="17">
    <w:abstractNumId w:val="17"/>
  </w:num>
  <w:num w:numId="18">
    <w:abstractNumId w:val="0"/>
  </w:num>
  <w:num w:numId="19">
    <w:abstractNumId w:val="5"/>
  </w:num>
  <w:num w:numId="20">
    <w:abstractNumId w:val="4"/>
  </w:num>
  <w:num w:numId="21">
    <w:abstractNumId w:val="10"/>
  </w:num>
  <w:num w:numId="22">
    <w:abstractNumId w:val="11"/>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E3"/>
    <w:rsid w:val="000157C5"/>
    <w:rsid w:val="00017140"/>
    <w:rsid w:val="00023A03"/>
    <w:rsid w:val="00042D96"/>
    <w:rsid w:val="000840E3"/>
    <w:rsid w:val="000901E4"/>
    <w:rsid w:val="00095A4C"/>
    <w:rsid w:val="00096043"/>
    <w:rsid w:val="00097FE2"/>
    <w:rsid w:val="000B005D"/>
    <w:rsid w:val="000C1A28"/>
    <w:rsid w:val="000C29D4"/>
    <w:rsid w:val="000C6018"/>
    <w:rsid w:val="000C75DC"/>
    <w:rsid w:val="000D490A"/>
    <w:rsid w:val="000D627F"/>
    <w:rsid w:val="000F7C34"/>
    <w:rsid w:val="00100B5F"/>
    <w:rsid w:val="00106168"/>
    <w:rsid w:val="0011029E"/>
    <w:rsid w:val="00113676"/>
    <w:rsid w:val="001242B1"/>
    <w:rsid w:val="00132899"/>
    <w:rsid w:val="0014269E"/>
    <w:rsid w:val="00147C73"/>
    <w:rsid w:val="0015604D"/>
    <w:rsid w:val="00156819"/>
    <w:rsid w:val="0017260E"/>
    <w:rsid w:val="00174204"/>
    <w:rsid w:val="00174511"/>
    <w:rsid w:val="0018184C"/>
    <w:rsid w:val="001A46E8"/>
    <w:rsid w:val="001B117F"/>
    <w:rsid w:val="001C3FCF"/>
    <w:rsid w:val="001C7911"/>
    <w:rsid w:val="001D2B64"/>
    <w:rsid w:val="001D2F16"/>
    <w:rsid w:val="001E3B9E"/>
    <w:rsid w:val="001E4DEC"/>
    <w:rsid w:val="001F447C"/>
    <w:rsid w:val="001F7574"/>
    <w:rsid w:val="00201425"/>
    <w:rsid w:val="00202B42"/>
    <w:rsid w:val="00217F5D"/>
    <w:rsid w:val="002216D7"/>
    <w:rsid w:val="00235D1C"/>
    <w:rsid w:val="00246F27"/>
    <w:rsid w:val="00254406"/>
    <w:rsid w:val="00257E17"/>
    <w:rsid w:val="00274A89"/>
    <w:rsid w:val="002750A7"/>
    <w:rsid w:val="002A00F9"/>
    <w:rsid w:val="002A1ECA"/>
    <w:rsid w:val="002B614E"/>
    <w:rsid w:val="002E2E2F"/>
    <w:rsid w:val="002F1D48"/>
    <w:rsid w:val="002F2651"/>
    <w:rsid w:val="002F48C2"/>
    <w:rsid w:val="003008FF"/>
    <w:rsid w:val="00304343"/>
    <w:rsid w:val="00306C09"/>
    <w:rsid w:val="00313F36"/>
    <w:rsid w:val="003257DE"/>
    <w:rsid w:val="003259D4"/>
    <w:rsid w:val="00340D9A"/>
    <w:rsid w:val="00350059"/>
    <w:rsid w:val="003504A4"/>
    <w:rsid w:val="00372EAC"/>
    <w:rsid w:val="00374107"/>
    <w:rsid w:val="00374AC5"/>
    <w:rsid w:val="00395AF8"/>
    <w:rsid w:val="003A5135"/>
    <w:rsid w:val="003B05E2"/>
    <w:rsid w:val="003D6322"/>
    <w:rsid w:val="003E2827"/>
    <w:rsid w:val="003E5381"/>
    <w:rsid w:val="003F12A6"/>
    <w:rsid w:val="003F19FC"/>
    <w:rsid w:val="003F450E"/>
    <w:rsid w:val="0041286A"/>
    <w:rsid w:val="004345BB"/>
    <w:rsid w:val="004409D2"/>
    <w:rsid w:val="00442A3A"/>
    <w:rsid w:val="00445F32"/>
    <w:rsid w:val="004463A0"/>
    <w:rsid w:val="00453360"/>
    <w:rsid w:val="00460A64"/>
    <w:rsid w:val="00466B3A"/>
    <w:rsid w:val="0047282A"/>
    <w:rsid w:val="00473F17"/>
    <w:rsid w:val="00480A71"/>
    <w:rsid w:val="004900BB"/>
    <w:rsid w:val="00490384"/>
    <w:rsid w:val="00490A70"/>
    <w:rsid w:val="00496617"/>
    <w:rsid w:val="004970D0"/>
    <w:rsid w:val="004A16FB"/>
    <w:rsid w:val="004A5177"/>
    <w:rsid w:val="004B021A"/>
    <w:rsid w:val="004E05E4"/>
    <w:rsid w:val="004E66E7"/>
    <w:rsid w:val="00502832"/>
    <w:rsid w:val="00523756"/>
    <w:rsid w:val="005308BB"/>
    <w:rsid w:val="00534878"/>
    <w:rsid w:val="00535240"/>
    <w:rsid w:val="00536939"/>
    <w:rsid w:val="00541062"/>
    <w:rsid w:val="0055272C"/>
    <w:rsid w:val="005552CB"/>
    <w:rsid w:val="005602F4"/>
    <w:rsid w:val="0056692A"/>
    <w:rsid w:val="0057529E"/>
    <w:rsid w:val="00597530"/>
    <w:rsid w:val="00597A25"/>
    <w:rsid w:val="005A3766"/>
    <w:rsid w:val="005A37EA"/>
    <w:rsid w:val="005A4BFE"/>
    <w:rsid w:val="005B1376"/>
    <w:rsid w:val="005B3CD5"/>
    <w:rsid w:val="005B4DA2"/>
    <w:rsid w:val="005B5607"/>
    <w:rsid w:val="005C480E"/>
    <w:rsid w:val="005C79E1"/>
    <w:rsid w:val="005D00B3"/>
    <w:rsid w:val="005D1CD5"/>
    <w:rsid w:val="005D7D0A"/>
    <w:rsid w:val="005E15D3"/>
    <w:rsid w:val="005F3A3B"/>
    <w:rsid w:val="005F746F"/>
    <w:rsid w:val="00600778"/>
    <w:rsid w:val="00603479"/>
    <w:rsid w:val="006051EE"/>
    <w:rsid w:val="0060597E"/>
    <w:rsid w:val="00607B1D"/>
    <w:rsid w:val="00611F6B"/>
    <w:rsid w:val="006136D9"/>
    <w:rsid w:val="00616EEE"/>
    <w:rsid w:val="00631619"/>
    <w:rsid w:val="00635A5D"/>
    <w:rsid w:val="00647EE1"/>
    <w:rsid w:val="006537B1"/>
    <w:rsid w:val="00656B5D"/>
    <w:rsid w:val="00657B24"/>
    <w:rsid w:val="00661694"/>
    <w:rsid w:val="00666D88"/>
    <w:rsid w:val="00674CF8"/>
    <w:rsid w:val="006768DE"/>
    <w:rsid w:val="00696A3D"/>
    <w:rsid w:val="006A2060"/>
    <w:rsid w:val="006B6E56"/>
    <w:rsid w:val="006B77CE"/>
    <w:rsid w:val="006D4139"/>
    <w:rsid w:val="006E775E"/>
    <w:rsid w:val="00700FB8"/>
    <w:rsid w:val="0072252C"/>
    <w:rsid w:val="0072388A"/>
    <w:rsid w:val="007332D1"/>
    <w:rsid w:val="00740BCB"/>
    <w:rsid w:val="0076386E"/>
    <w:rsid w:val="00767F0D"/>
    <w:rsid w:val="00773070"/>
    <w:rsid w:val="00776D68"/>
    <w:rsid w:val="00785E18"/>
    <w:rsid w:val="00787B51"/>
    <w:rsid w:val="00794AE6"/>
    <w:rsid w:val="007A6322"/>
    <w:rsid w:val="007C1194"/>
    <w:rsid w:val="007C56BB"/>
    <w:rsid w:val="007D22FD"/>
    <w:rsid w:val="007E1021"/>
    <w:rsid w:val="007E476D"/>
    <w:rsid w:val="007E5DF8"/>
    <w:rsid w:val="008023BE"/>
    <w:rsid w:val="00802B25"/>
    <w:rsid w:val="00806E0F"/>
    <w:rsid w:val="00814174"/>
    <w:rsid w:val="0083065F"/>
    <w:rsid w:val="0083731A"/>
    <w:rsid w:val="00851E24"/>
    <w:rsid w:val="0085275B"/>
    <w:rsid w:val="008547E7"/>
    <w:rsid w:val="00855725"/>
    <w:rsid w:val="00864B5A"/>
    <w:rsid w:val="008668FA"/>
    <w:rsid w:val="00866E7D"/>
    <w:rsid w:val="00866F70"/>
    <w:rsid w:val="0087513F"/>
    <w:rsid w:val="00877189"/>
    <w:rsid w:val="00877AD4"/>
    <w:rsid w:val="00896FA8"/>
    <w:rsid w:val="008A2FAD"/>
    <w:rsid w:val="008A3936"/>
    <w:rsid w:val="008A5D7C"/>
    <w:rsid w:val="008D0928"/>
    <w:rsid w:val="008D20C2"/>
    <w:rsid w:val="008D226C"/>
    <w:rsid w:val="008D6F7A"/>
    <w:rsid w:val="008E031C"/>
    <w:rsid w:val="008E5747"/>
    <w:rsid w:val="008E73BA"/>
    <w:rsid w:val="008F19BF"/>
    <w:rsid w:val="008F2BC9"/>
    <w:rsid w:val="008F585C"/>
    <w:rsid w:val="009009D9"/>
    <w:rsid w:val="009074EC"/>
    <w:rsid w:val="00913A55"/>
    <w:rsid w:val="00914154"/>
    <w:rsid w:val="009319CE"/>
    <w:rsid w:val="0094460F"/>
    <w:rsid w:val="00962250"/>
    <w:rsid w:val="009653BE"/>
    <w:rsid w:val="009768EC"/>
    <w:rsid w:val="0099492D"/>
    <w:rsid w:val="009A207D"/>
    <w:rsid w:val="009B200A"/>
    <w:rsid w:val="009B5965"/>
    <w:rsid w:val="009E260D"/>
    <w:rsid w:val="009E6017"/>
    <w:rsid w:val="009F7644"/>
    <w:rsid w:val="00A00B11"/>
    <w:rsid w:val="00A02FE5"/>
    <w:rsid w:val="00A17247"/>
    <w:rsid w:val="00A27336"/>
    <w:rsid w:val="00A4205C"/>
    <w:rsid w:val="00A4243F"/>
    <w:rsid w:val="00A434C1"/>
    <w:rsid w:val="00A50795"/>
    <w:rsid w:val="00A50B26"/>
    <w:rsid w:val="00A55F7F"/>
    <w:rsid w:val="00A667C4"/>
    <w:rsid w:val="00A67207"/>
    <w:rsid w:val="00A67C2F"/>
    <w:rsid w:val="00A73537"/>
    <w:rsid w:val="00A911ED"/>
    <w:rsid w:val="00AB1C97"/>
    <w:rsid w:val="00AB5E70"/>
    <w:rsid w:val="00AB75AF"/>
    <w:rsid w:val="00AC09B5"/>
    <w:rsid w:val="00AC5F5A"/>
    <w:rsid w:val="00AD585B"/>
    <w:rsid w:val="00AD649B"/>
    <w:rsid w:val="00AD74E0"/>
    <w:rsid w:val="00AE019E"/>
    <w:rsid w:val="00AE5142"/>
    <w:rsid w:val="00AE7387"/>
    <w:rsid w:val="00AF54FD"/>
    <w:rsid w:val="00B06221"/>
    <w:rsid w:val="00B11734"/>
    <w:rsid w:val="00B13160"/>
    <w:rsid w:val="00B158F3"/>
    <w:rsid w:val="00B16831"/>
    <w:rsid w:val="00B204B0"/>
    <w:rsid w:val="00B249DC"/>
    <w:rsid w:val="00B30F95"/>
    <w:rsid w:val="00B42BE0"/>
    <w:rsid w:val="00B52A9A"/>
    <w:rsid w:val="00B67505"/>
    <w:rsid w:val="00B826A7"/>
    <w:rsid w:val="00B902B4"/>
    <w:rsid w:val="00BA1BF1"/>
    <w:rsid w:val="00BA4596"/>
    <w:rsid w:val="00BD1866"/>
    <w:rsid w:val="00BD3AD0"/>
    <w:rsid w:val="00BD41B0"/>
    <w:rsid w:val="00C116E4"/>
    <w:rsid w:val="00C15470"/>
    <w:rsid w:val="00C16212"/>
    <w:rsid w:val="00C307E3"/>
    <w:rsid w:val="00C550EB"/>
    <w:rsid w:val="00C60339"/>
    <w:rsid w:val="00C61E42"/>
    <w:rsid w:val="00C71B63"/>
    <w:rsid w:val="00C76E91"/>
    <w:rsid w:val="00C83154"/>
    <w:rsid w:val="00C834AE"/>
    <w:rsid w:val="00C83852"/>
    <w:rsid w:val="00C9282F"/>
    <w:rsid w:val="00C936C3"/>
    <w:rsid w:val="00C948A2"/>
    <w:rsid w:val="00CB68A9"/>
    <w:rsid w:val="00CC0126"/>
    <w:rsid w:val="00CD4A62"/>
    <w:rsid w:val="00CD7EB3"/>
    <w:rsid w:val="00D00865"/>
    <w:rsid w:val="00D061B4"/>
    <w:rsid w:val="00D13F32"/>
    <w:rsid w:val="00D205CD"/>
    <w:rsid w:val="00D24D27"/>
    <w:rsid w:val="00D4079F"/>
    <w:rsid w:val="00D4179F"/>
    <w:rsid w:val="00D43D6E"/>
    <w:rsid w:val="00D53AD7"/>
    <w:rsid w:val="00D77AC1"/>
    <w:rsid w:val="00D820CC"/>
    <w:rsid w:val="00DA1D37"/>
    <w:rsid w:val="00DB1041"/>
    <w:rsid w:val="00DB350F"/>
    <w:rsid w:val="00DB5FF1"/>
    <w:rsid w:val="00DC17E9"/>
    <w:rsid w:val="00DD3EFE"/>
    <w:rsid w:val="00DD5EF1"/>
    <w:rsid w:val="00DD6502"/>
    <w:rsid w:val="00DE4193"/>
    <w:rsid w:val="00DF6BE6"/>
    <w:rsid w:val="00DF6CA9"/>
    <w:rsid w:val="00E02CE7"/>
    <w:rsid w:val="00E102B4"/>
    <w:rsid w:val="00E132E2"/>
    <w:rsid w:val="00E15B91"/>
    <w:rsid w:val="00E223AB"/>
    <w:rsid w:val="00E22907"/>
    <w:rsid w:val="00E24486"/>
    <w:rsid w:val="00E37F1F"/>
    <w:rsid w:val="00E57682"/>
    <w:rsid w:val="00E67BE1"/>
    <w:rsid w:val="00E72730"/>
    <w:rsid w:val="00E73309"/>
    <w:rsid w:val="00E8562B"/>
    <w:rsid w:val="00EA1E0C"/>
    <w:rsid w:val="00EA2CE9"/>
    <w:rsid w:val="00EA3DDA"/>
    <w:rsid w:val="00EB6A58"/>
    <w:rsid w:val="00EC2E83"/>
    <w:rsid w:val="00EC3542"/>
    <w:rsid w:val="00EC3F6F"/>
    <w:rsid w:val="00EC5579"/>
    <w:rsid w:val="00EC5ADE"/>
    <w:rsid w:val="00EC657B"/>
    <w:rsid w:val="00ED128C"/>
    <w:rsid w:val="00ED27B5"/>
    <w:rsid w:val="00ED646E"/>
    <w:rsid w:val="00EE1BC0"/>
    <w:rsid w:val="00EF18E2"/>
    <w:rsid w:val="00EF28C0"/>
    <w:rsid w:val="00EF2A73"/>
    <w:rsid w:val="00EF40AA"/>
    <w:rsid w:val="00F208EC"/>
    <w:rsid w:val="00F21AC0"/>
    <w:rsid w:val="00F23CD6"/>
    <w:rsid w:val="00F3069D"/>
    <w:rsid w:val="00F47E05"/>
    <w:rsid w:val="00F51EE3"/>
    <w:rsid w:val="00F5409A"/>
    <w:rsid w:val="00F55305"/>
    <w:rsid w:val="00F60A00"/>
    <w:rsid w:val="00F71A38"/>
    <w:rsid w:val="00FB2614"/>
    <w:rsid w:val="00FB2DF3"/>
    <w:rsid w:val="00FC0705"/>
    <w:rsid w:val="00FD3661"/>
    <w:rsid w:val="00FE14F2"/>
    <w:rsid w:val="00FE40A1"/>
    <w:rsid w:val="00FE65EC"/>
    <w:rsid w:val="00FF7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871C8-F97C-4FCC-8EB5-7281F4CA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C3"/>
    <w:pPr>
      <w:spacing w:after="160" w:line="259" w:lineRule="auto"/>
    </w:pPr>
    <w:rPr>
      <w:sz w:val="22"/>
      <w:szCs w:val="22"/>
      <w:lang w:eastAsia="zh-CN"/>
    </w:rPr>
  </w:style>
  <w:style w:type="paragraph" w:styleId="Ttulo1">
    <w:name w:val="heading 1"/>
    <w:basedOn w:val="Normal"/>
    <w:next w:val="Normal"/>
    <w:link w:val="Ttulo1Car"/>
    <w:uiPriority w:val="9"/>
    <w:qFormat/>
    <w:rsid w:val="0087513F"/>
    <w:pPr>
      <w:keepNext/>
      <w:keepLines/>
      <w:spacing w:before="240" w:after="0"/>
      <w:outlineLvl w:val="0"/>
    </w:pPr>
    <w:rPr>
      <w:rFonts w:ascii="Calibri Light" w:hAnsi="Calibri Light" w:cs="Times New Roman"/>
      <w:color w:val="2E74B5"/>
      <w:sz w:val="32"/>
      <w:szCs w:val="32"/>
    </w:rPr>
  </w:style>
  <w:style w:type="paragraph" w:styleId="Ttulo2">
    <w:name w:val="heading 2"/>
    <w:basedOn w:val="Normal"/>
    <w:next w:val="Normal"/>
    <w:link w:val="Ttulo2Car"/>
    <w:uiPriority w:val="9"/>
    <w:semiHidden/>
    <w:unhideWhenUsed/>
    <w:qFormat/>
    <w:rsid w:val="003F1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F19F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F19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F19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6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1A46E8"/>
    <w:rPr>
      <w:rFonts w:eastAsia="Times New Roman" w:cs="Times New Roman"/>
      <w:sz w:val="22"/>
      <w:szCs w:val="22"/>
      <w:lang w:val="es-CO" w:eastAsia="es-CO" w:bidi="ar-SA"/>
    </w:rPr>
  </w:style>
  <w:style w:type="paragraph" w:styleId="Sinespaciado">
    <w:name w:val="No Spacing"/>
    <w:link w:val="SinespaciadoCar"/>
    <w:uiPriority w:val="1"/>
    <w:qFormat/>
    <w:rsid w:val="001A46E8"/>
    <w:rPr>
      <w:rFonts w:eastAsia="Times New Roman" w:cs="Times New Roman"/>
      <w:sz w:val="22"/>
      <w:szCs w:val="22"/>
    </w:rPr>
  </w:style>
  <w:style w:type="character" w:customStyle="1" w:styleId="apple-converted-space">
    <w:name w:val="apple-converted-space"/>
    <w:basedOn w:val="Fuentedeprrafopredeter"/>
    <w:rsid w:val="008D226C"/>
  </w:style>
  <w:style w:type="paragraph" w:customStyle="1" w:styleId="centrado">
    <w:name w:val="centrado"/>
    <w:basedOn w:val="Normal"/>
    <w:rsid w:val="0086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866F70"/>
  </w:style>
  <w:style w:type="table" w:styleId="Tablaconcuadrcula">
    <w:name w:val="Table Grid"/>
    <w:basedOn w:val="Tablanormal"/>
    <w:uiPriority w:val="59"/>
    <w:rsid w:val="0067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A5135"/>
    <w:pPr>
      <w:spacing w:after="0" w:line="240" w:lineRule="auto"/>
    </w:pPr>
    <w:rPr>
      <w:rFonts w:cs="Times New Roman"/>
      <w:sz w:val="20"/>
      <w:szCs w:val="20"/>
    </w:rPr>
  </w:style>
  <w:style w:type="character" w:customStyle="1" w:styleId="TextonotapieCar">
    <w:name w:val="Texto nota pie Car"/>
    <w:link w:val="Textonotapie"/>
    <w:uiPriority w:val="99"/>
    <w:semiHidden/>
    <w:rsid w:val="003A5135"/>
    <w:rPr>
      <w:sz w:val="20"/>
      <w:szCs w:val="20"/>
    </w:rPr>
  </w:style>
  <w:style w:type="character" w:styleId="Refdenotaalpie">
    <w:name w:val="footnote reference"/>
    <w:uiPriority w:val="99"/>
    <w:semiHidden/>
    <w:unhideWhenUsed/>
    <w:rsid w:val="003A5135"/>
    <w:rPr>
      <w:vertAlign w:val="superscript"/>
    </w:rPr>
  </w:style>
  <w:style w:type="character" w:styleId="Textoennegrita">
    <w:name w:val="Strong"/>
    <w:uiPriority w:val="22"/>
    <w:qFormat/>
    <w:rsid w:val="00235D1C"/>
    <w:rPr>
      <w:b/>
      <w:bCs/>
    </w:rPr>
  </w:style>
  <w:style w:type="character" w:customStyle="1" w:styleId="Ttulo1Car">
    <w:name w:val="Título 1 Car"/>
    <w:link w:val="Ttulo1"/>
    <w:uiPriority w:val="9"/>
    <w:rsid w:val="0087513F"/>
    <w:rPr>
      <w:rFonts w:ascii="Calibri Light" w:eastAsia="SimSun" w:hAnsi="Calibri Light" w:cs="Times New Roman"/>
      <w:color w:val="2E74B5"/>
      <w:sz w:val="32"/>
      <w:szCs w:val="32"/>
    </w:rPr>
  </w:style>
  <w:style w:type="paragraph" w:styleId="Bibliografa">
    <w:name w:val="Bibliography"/>
    <w:basedOn w:val="Normal"/>
    <w:next w:val="Normal"/>
    <w:uiPriority w:val="37"/>
    <w:unhideWhenUsed/>
    <w:rsid w:val="0087513F"/>
  </w:style>
  <w:style w:type="paragraph" w:styleId="Encabezado">
    <w:name w:val="header"/>
    <w:basedOn w:val="Normal"/>
    <w:link w:val="EncabezadoCar"/>
    <w:uiPriority w:val="99"/>
    <w:unhideWhenUsed/>
    <w:rsid w:val="00740BC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0BCB"/>
  </w:style>
  <w:style w:type="paragraph" w:styleId="Piedepgina">
    <w:name w:val="footer"/>
    <w:basedOn w:val="Normal"/>
    <w:link w:val="PiedepginaCar"/>
    <w:uiPriority w:val="99"/>
    <w:unhideWhenUsed/>
    <w:rsid w:val="00740BC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0BCB"/>
  </w:style>
  <w:style w:type="paragraph" w:customStyle="1" w:styleId="xmsonormal">
    <w:name w:val="x_msonormal"/>
    <w:basedOn w:val="Normal"/>
    <w:rsid w:val="00E576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apple-converted-space">
    <w:name w:val="x_apple-converted-space"/>
    <w:rsid w:val="00E57682"/>
  </w:style>
  <w:style w:type="paragraph" w:customStyle="1" w:styleId="mso">
    <w:name w:val="mso"/>
    <w:basedOn w:val="Normal"/>
    <w:rsid w:val="00D53A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602F4"/>
    <w:rPr>
      <w:color w:val="0000FF"/>
      <w:u w:val="single"/>
    </w:rPr>
  </w:style>
  <w:style w:type="paragraph" w:styleId="Prrafodelista">
    <w:name w:val="List Paragraph"/>
    <w:basedOn w:val="Normal"/>
    <w:uiPriority w:val="34"/>
    <w:qFormat/>
    <w:rsid w:val="00350059"/>
    <w:pPr>
      <w:ind w:left="720"/>
      <w:contextualSpacing/>
    </w:pPr>
  </w:style>
  <w:style w:type="paragraph" w:styleId="Textodeglobo">
    <w:name w:val="Balloon Text"/>
    <w:basedOn w:val="Normal"/>
    <w:link w:val="TextodegloboCar"/>
    <w:uiPriority w:val="99"/>
    <w:semiHidden/>
    <w:unhideWhenUsed/>
    <w:rsid w:val="00097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FE2"/>
    <w:rPr>
      <w:rFonts w:ascii="Tahoma" w:hAnsi="Tahoma" w:cs="Tahoma"/>
      <w:sz w:val="16"/>
      <w:szCs w:val="16"/>
      <w:lang w:eastAsia="zh-CN"/>
    </w:rPr>
  </w:style>
  <w:style w:type="character" w:customStyle="1" w:styleId="Ttulo2Car">
    <w:name w:val="Título 2 Car"/>
    <w:basedOn w:val="Fuentedeprrafopredeter"/>
    <w:link w:val="Ttulo2"/>
    <w:uiPriority w:val="9"/>
    <w:semiHidden/>
    <w:rsid w:val="003F19FC"/>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semiHidden/>
    <w:rsid w:val="003F19FC"/>
    <w:rPr>
      <w:rFonts w:asciiTheme="majorHAnsi" w:eastAsiaTheme="majorEastAsia" w:hAnsiTheme="majorHAnsi" w:cstheme="majorBidi"/>
      <w:b/>
      <w:bCs/>
      <w:color w:val="4F81BD" w:themeColor="accent1"/>
      <w:sz w:val="22"/>
      <w:szCs w:val="22"/>
      <w:lang w:eastAsia="zh-CN"/>
    </w:rPr>
  </w:style>
  <w:style w:type="character" w:customStyle="1" w:styleId="Ttulo4Car">
    <w:name w:val="Título 4 Car"/>
    <w:basedOn w:val="Fuentedeprrafopredeter"/>
    <w:link w:val="Ttulo4"/>
    <w:uiPriority w:val="9"/>
    <w:semiHidden/>
    <w:rsid w:val="003F19FC"/>
    <w:rPr>
      <w:rFonts w:asciiTheme="majorHAnsi" w:eastAsiaTheme="majorEastAsia" w:hAnsiTheme="majorHAnsi" w:cstheme="majorBidi"/>
      <w:b/>
      <w:bCs/>
      <w:i/>
      <w:iCs/>
      <w:color w:val="4F81BD" w:themeColor="accent1"/>
      <w:sz w:val="22"/>
      <w:szCs w:val="22"/>
      <w:lang w:eastAsia="zh-CN"/>
    </w:rPr>
  </w:style>
  <w:style w:type="character" w:customStyle="1" w:styleId="Ttulo5Car">
    <w:name w:val="Título 5 Car"/>
    <w:basedOn w:val="Fuentedeprrafopredeter"/>
    <w:link w:val="Ttulo5"/>
    <w:uiPriority w:val="9"/>
    <w:semiHidden/>
    <w:rsid w:val="003F19FC"/>
    <w:rPr>
      <w:rFonts w:asciiTheme="majorHAnsi" w:eastAsiaTheme="majorEastAsia" w:hAnsiTheme="majorHAnsi" w:cstheme="majorBidi"/>
      <w:color w:val="243F60" w:themeColor="accent1" w:themeShade="7F"/>
      <w:sz w:val="22"/>
      <w:szCs w:val="22"/>
      <w:lang w:eastAsia="zh-CN"/>
    </w:rPr>
  </w:style>
  <w:style w:type="character" w:customStyle="1" w:styleId="mw-headline">
    <w:name w:val="mw-headline"/>
    <w:basedOn w:val="Fuentedeprrafopredeter"/>
    <w:rsid w:val="003F19FC"/>
  </w:style>
  <w:style w:type="character" w:customStyle="1" w:styleId="mw-cite-backlink">
    <w:name w:val="mw-cite-backlink"/>
    <w:basedOn w:val="Fuentedeprrafopredeter"/>
    <w:rsid w:val="003F19FC"/>
  </w:style>
  <w:style w:type="character" w:customStyle="1" w:styleId="cite-accessibility-label">
    <w:name w:val="cite-accessibility-label"/>
    <w:basedOn w:val="Fuentedeprrafopredeter"/>
    <w:rsid w:val="003F19FC"/>
  </w:style>
  <w:style w:type="character" w:customStyle="1" w:styleId="reference-text">
    <w:name w:val="reference-text"/>
    <w:basedOn w:val="Fuentedeprrafopredeter"/>
    <w:rsid w:val="003F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221">
      <w:bodyDiv w:val="1"/>
      <w:marLeft w:val="0"/>
      <w:marRight w:val="0"/>
      <w:marTop w:val="0"/>
      <w:marBottom w:val="0"/>
      <w:divBdr>
        <w:top w:val="none" w:sz="0" w:space="0" w:color="auto"/>
        <w:left w:val="none" w:sz="0" w:space="0" w:color="auto"/>
        <w:bottom w:val="none" w:sz="0" w:space="0" w:color="auto"/>
        <w:right w:val="none" w:sz="0" w:space="0" w:color="auto"/>
      </w:divBdr>
    </w:div>
    <w:div w:id="45111193">
      <w:bodyDiv w:val="1"/>
      <w:marLeft w:val="0"/>
      <w:marRight w:val="0"/>
      <w:marTop w:val="0"/>
      <w:marBottom w:val="0"/>
      <w:divBdr>
        <w:top w:val="none" w:sz="0" w:space="0" w:color="auto"/>
        <w:left w:val="none" w:sz="0" w:space="0" w:color="auto"/>
        <w:bottom w:val="none" w:sz="0" w:space="0" w:color="auto"/>
        <w:right w:val="none" w:sz="0" w:space="0" w:color="auto"/>
      </w:divBdr>
    </w:div>
    <w:div w:id="67962881">
      <w:bodyDiv w:val="1"/>
      <w:marLeft w:val="0"/>
      <w:marRight w:val="0"/>
      <w:marTop w:val="0"/>
      <w:marBottom w:val="0"/>
      <w:divBdr>
        <w:top w:val="none" w:sz="0" w:space="0" w:color="auto"/>
        <w:left w:val="none" w:sz="0" w:space="0" w:color="auto"/>
        <w:bottom w:val="none" w:sz="0" w:space="0" w:color="auto"/>
        <w:right w:val="none" w:sz="0" w:space="0" w:color="auto"/>
      </w:divBdr>
    </w:div>
    <w:div w:id="242688044">
      <w:bodyDiv w:val="1"/>
      <w:marLeft w:val="0"/>
      <w:marRight w:val="0"/>
      <w:marTop w:val="0"/>
      <w:marBottom w:val="0"/>
      <w:divBdr>
        <w:top w:val="none" w:sz="0" w:space="0" w:color="auto"/>
        <w:left w:val="none" w:sz="0" w:space="0" w:color="auto"/>
        <w:bottom w:val="none" w:sz="0" w:space="0" w:color="auto"/>
        <w:right w:val="none" w:sz="0" w:space="0" w:color="auto"/>
      </w:divBdr>
    </w:div>
    <w:div w:id="320501364">
      <w:bodyDiv w:val="1"/>
      <w:marLeft w:val="0"/>
      <w:marRight w:val="0"/>
      <w:marTop w:val="0"/>
      <w:marBottom w:val="0"/>
      <w:divBdr>
        <w:top w:val="none" w:sz="0" w:space="0" w:color="auto"/>
        <w:left w:val="none" w:sz="0" w:space="0" w:color="auto"/>
        <w:bottom w:val="none" w:sz="0" w:space="0" w:color="auto"/>
        <w:right w:val="none" w:sz="0" w:space="0" w:color="auto"/>
      </w:divBdr>
    </w:div>
    <w:div w:id="341931707">
      <w:bodyDiv w:val="1"/>
      <w:marLeft w:val="0"/>
      <w:marRight w:val="0"/>
      <w:marTop w:val="0"/>
      <w:marBottom w:val="0"/>
      <w:divBdr>
        <w:top w:val="none" w:sz="0" w:space="0" w:color="auto"/>
        <w:left w:val="none" w:sz="0" w:space="0" w:color="auto"/>
        <w:bottom w:val="none" w:sz="0" w:space="0" w:color="auto"/>
        <w:right w:val="none" w:sz="0" w:space="0" w:color="auto"/>
      </w:divBdr>
    </w:div>
    <w:div w:id="414594395">
      <w:bodyDiv w:val="1"/>
      <w:marLeft w:val="0"/>
      <w:marRight w:val="0"/>
      <w:marTop w:val="0"/>
      <w:marBottom w:val="0"/>
      <w:divBdr>
        <w:top w:val="none" w:sz="0" w:space="0" w:color="auto"/>
        <w:left w:val="none" w:sz="0" w:space="0" w:color="auto"/>
        <w:bottom w:val="none" w:sz="0" w:space="0" w:color="auto"/>
        <w:right w:val="none" w:sz="0" w:space="0" w:color="auto"/>
      </w:divBdr>
    </w:div>
    <w:div w:id="422533447">
      <w:bodyDiv w:val="1"/>
      <w:marLeft w:val="0"/>
      <w:marRight w:val="0"/>
      <w:marTop w:val="0"/>
      <w:marBottom w:val="0"/>
      <w:divBdr>
        <w:top w:val="none" w:sz="0" w:space="0" w:color="auto"/>
        <w:left w:val="none" w:sz="0" w:space="0" w:color="auto"/>
        <w:bottom w:val="none" w:sz="0" w:space="0" w:color="auto"/>
        <w:right w:val="none" w:sz="0" w:space="0" w:color="auto"/>
      </w:divBdr>
    </w:div>
    <w:div w:id="470099418">
      <w:bodyDiv w:val="1"/>
      <w:marLeft w:val="0"/>
      <w:marRight w:val="0"/>
      <w:marTop w:val="0"/>
      <w:marBottom w:val="0"/>
      <w:divBdr>
        <w:top w:val="none" w:sz="0" w:space="0" w:color="auto"/>
        <w:left w:val="none" w:sz="0" w:space="0" w:color="auto"/>
        <w:bottom w:val="none" w:sz="0" w:space="0" w:color="auto"/>
        <w:right w:val="none" w:sz="0" w:space="0" w:color="auto"/>
      </w:divBdr>
    </w:div>
    <w:div w:id="505053076">
      <w:bodyDiv w:val="1"/>
      <w:marLeft w:val="0"/>
      <w:marRight w:val="0"/>
      <w:marTop w:val="0"/>
      <w:marBottom w:val="0"/>
      <w:divBdr>
        <w:top w:val="none" w:sz="0" w:space="0" w:color="auto"/>
        <w:left w:val="none" w:sz="0" w:space="0" w:color="auto"/>
        <w:bottom w:val="none" w:sz="0" w:space="0" w:color="auto"/>
        <w:right w:val="none" w:sz="0" w:space="0" w:color="auto"/>
      </w:divBdr>
    </w:div>
    <w:div w:id="588537553">
      <w:bodyDiv w:val="1"/>
      <w:marLeft w:val="0"/>
      <w:marRight w:val="0"/>
      <w:marTop w:val="0"/>
      <w:marBottom w:val="0"/>
      <w:divBdr>
        <w:top w:val="none" w:sz="0" w:space="0" w:color="auto"/>
        <w:left w:val="none" w:sz="0" w:space="0" w:color="auto"/>
        <w:bottom w:val="none" w:sz="0" w:space="0" w:color="auto"/>
        <w:right w:val="none" w:sz="0" w:space="0" w:color="auto"/>
      </w:divBdr>
    </w:div>
    <w:div w:id="626543381">
      <w:bodyDiv w:val="1"/>
      <w:marLeft w:val="0"/>
      <w:marRight w:val="0"/>
      <w:marTop w:val="0"/>
      <w:marBottom w:val="0"/>
      <w:divBdr>
        <w:top w:val="none" w:sz="0" w:space="0" w:color="auto"/>
        <w:left w:val="none" w:sz="0" w:space="0" w:color="auto"/>
        <w:bottom w:val="none" w:sz="0" w:space="0" w:color="auto"/>
        <w:right w:val="none" w:sz="0" w:space="0" w:color="auto"/>
      </w:divBdr>
    </w:div>
    <w:div w:id="938684662">
      <w:bodyDiv w:val="1"/>
      <w:marLeft w:val="0"/>
      <w:marRight w:val="0"/>
      <w:marTop w:val="0"/>
      <w:marBottom w:val="0"/>
      <w:divBdr>
        <w:top w:val="none" w:sz="0" w:space="0" w:color="auto"/>
        <w:left w:val="none" w:sz="0" w:space="0" w:color="auto"/>
        <w:bottom w:val="none" w:sz="0" w:space="0" w:color="auto"/>
        <w:right w:val="none" w:sz="0" w:space="0" w:color="auto"/>
      </w:divBdr>
      <w:divsChild>
        <w:div w:id="1552158869">
          <w:marLeft w:val="0"/>
          <w:marRight w:val="0"/>
          <w:marTop w:val="0"/>
          <w:marBottom w:val="100"/>
          <w:divBdr>
            <w:top w:val="none" w:sz="0" w:space="0" w:color="auto"/>
            <w:left w:val="none" w:sz="0" w:space="0" w:color="auto"/>
            <w:bottom w:val="none" w:sz="0" w:space="0" w:color="auto"/>
            <w:right w:val="none" w:sz="0" w:space="0" w:color="auto"/>
          </w:divBdr>
        </w:div>
        <w:div w:id="955021191">
          <w:marLeft w:val="0"/>
          <w:marRight w:val="0"/>
          <w:marTop w:val="0"/>
          <w:marBottom w:val="120"/>
          <w:divBdr>
            <w:top w:val="none" w:sz="0" w:space="0" w:color="auto"/>
            <w:left w:val="none" w:sz="0" w:space="0" w:color="auto"/>
            <w:bottom w:val="none" w:sz="0" w:space="0" w:color="auto"/>
            <w:right w:val="none" w:sz="0" w:space="0" w:color="auto"/>
          </w:divBdr>
        </w:div>
        <w:div w:id="392509125">
          <w:marLeft w:val="0"/>
          <w:marRight w:val="0"/>
          <w:marTop w:val="0"/>
          <w:marBottom w:val="120"/>
          <w:divBdr>
            <w:top w:val="none" w:sz="0" w:space="0" w:color="auto"/>
            <w:left w:val="none" w:sz="0" w:space="0" w:color="auto"/>
            <w:bottom w:val="none" w:sz="0" w:space="0" w:color="auto"/>
            <w:right w:val="none" w:sz="0" w:space="0" w:color="auto"/>
          </w:divBdr>
        </w:div>
        <w:div w:id="1199661254">
          <w:marLeft w:val="0"/>
          <w:marRight w:val="0"/>
          <w:marTop w:val="0"/>
          <w:marBottom w:val="120"/>
          <w:divBdr>
            <w:top w:val="none" w:sz="0" w:space="0" w:color="auto"/>
            <w:left w:val="none" w:sz="0" w:space="0" w:color="auto"/>
            <w:bottom w:val="none" w:sz="0" w:space="0" w:color="auto"/>
            <w:right w:val="none" w:sz="0" w:space="0" w:color="auto"/>
          </w:divBdr>
        </w:div>
        <w:div w:id="908269510">
          <w:marLeft w:val="0"/>
          <w:marRight w:val="0"/>
          <w:marTop w:val="0"/>
          <w:marBottom w:val="220"/>
          <w:divBdr>
            <w:top w:val="none" w:sz="0" w:space="0" w:color="auto"/>
            <w:left w:val="none" w:sz="0" w:space="0" w:color="auto"/>
            <w:bottom w:val="none" w:sz="0" w:space="0" w:color="auto"/>
            <w:right w:val="none" w:sz="0" w:space="0" w:color="auto"/>
          </w:divBdr>
        </w:div>
        <w:div w:id="46297000">
          <w:marLeft w:val="0"/>
          <w:marRight w:val="0"/>
          <w:marTop w:val="0"/>
          <w:marBottom w:val="120"/>
          <w:divBdr>
            <w:top w:val="none" w:sz="0" w:space="0" w:color="auto"/>
            <w:left w:val="none" w:sz="0" w:space="0" w:color="auto"/>
            <w:bottom w:val="none" w:sz="0" w:space="0" w:color="auto"/>
            <w:right w:val="none" w:sz="0" w:space="0" w:color="auto"/>
          </w:divBdr>
        </w:div>
      </w:divsChild>
    </w:div>
    <w:div w:id="984355455">
      <w:bodyDiv w:val="1"/>
      <w:marLeft w:val="0"/>
      <w:marRight w:val="0"/>
      <w:marTop w:val="0"/>
      <w:marBottom w:val="0"/>
      <w:divBdr>
        <w:top w:val="none" w:sz="0" w:space="0" w:color="auto"/>
        <w:left w:val="none" w:sz="0" w:space="0" w:color="auto"/>
        <w:bottom w:val="none" w:sz="0" w:space="0" w:color="auto"/>
        <w:right w:val="none" w:sz="0" w:space="0" w:color="auto"/>
      </w:divBdr>
    </w:div>
    <w:div w:id="1045907966">
      <w:bodyDiv w:val="1"/>
      <w:marLeft w:val="0"/>
      <w:marRight w:val="0"/>
      <w:marTop w:val="0"/>
      <w:marBottom w:val="0"/>
      <w:divBdr>
        <w:top w:val="none" w:sz="0" w:space="0" w:color="auto"/>
        <w:left w:val="none" w:sz="0" w:space="0" w:color="auto"/>
        <w:bottom w:val="none" w:sz="0" w:space="0" w:color="auto"/>
        <w:right w:val="none" w:sz="0" w:space="0" w:color="auto"/>
      </w:divBdr>
    </w:div>
    <w:div w:id="1067461484">
      <w:bodyDiv w:val="1"/>
      <w:marLeft w:val="0"/>
      <w:marRight w:val="0"/>
      <w:marTop w:val="0"/>
      <w:marBottom w:val="0"/>
      <w:divBdr>
        <w:top w:val="none" w:sz="0" w:space="0" w:color="auto"/>
        <w:left w:val="none" w:sz="0" w:space="0" w:color="auto"/>
        <w:bottom w:val="none" w:sz="0" w:space="0" w:color="auto"/>
        <w:right w:val="none" w:sz="0" w:space="0" w:color="auto"/>
      </w:divBdr>
    </w:div>
    <w:div w:id="1105419650">
      <w:bodyDiv w:val="1"/>
      <w:marLeft w:val="0"/>
      <w:marRight w:val="0"/>
      <w:marTop w:val="0"/>
      <w:marBottom w:val="0"/>
      <w:divBdr>
        <w:top w:val="none" w:sz="0" w:space="0" w:color="auto"/>
        <w:left w:val="none" w:sz="0" w:space="0" w:color="auto"/>
        <w:bottom w:val="none" w:sz="0" w:space="0" w:color="auto"/>
        <w:right w:val="none" w:sz="0" w:space="0" w:color="auto"/>
      </w:divBdr>
    </w:div>
    <w:div w:id="1115127694">
      <w:bodyDiv w:val="1"/>
      <w:marLeft w:val="0"/>
      <w:marRight w:val="0"/>
      <w:marTop w:val="0"/>
      <w:marBottom w:val="0"/>
      <w:divBdr>
        <w:top w:val="none" w:sz="0" w:space="0" w:color="auto"/>
        <w:left w:val="none" w:sz="0" w:space="0" w:color="auto"/>
        <w:bottom w:val="none" w:sz="0" w:space="0" w:color="auto"/>
        <w:right w:val="none" w:sz="0" w:space="0" w:color="auto"/>
      </w:divBdr>
    </w:div>
    <w:div w:id="1190531585">
      <w:bodyDiv w:val="1"/>
      <w:marLeft w:val="0"/>
      <w:marRight w:val="0"/>
      <w:marTop w:val="0"/>
      <w:marBottom w:val="0"/>
      <w:divBdr>
        <w:top w:val="none" w:sz="0" w:space="0" w:color="auto"/>
        <w:left w:val="none" w:sz="0" w:space="0" w:color="auto"/>
        <w:bottom w:val="none" w:sz="0" w:space="0" w:color="auto"/>
        <w:right w:val="none" w:sz="0" w:space="0" w:color="auto"/>
      </w:divBdr>
    </w:div>
    <w:div w:id="1307778288">
      <w:bodyDiv w:val="1"/>
      <w:marLeft w:val="0"/>
      <w:marRight w:val="0"/>
      <w:marTop w:val="0"/>
      <w:marBottom w:val="0"/>
      <w:divBdr>
        <w:top w:val="none" w:sz="0" w:space="0" w:color="auto"/>
        <w:left w:val="none" w:sz="0" w:space="0" w:color="auto"/>
        <w:bottom w:val="none" w:sz="0" w:space="0" w:color="auto"/>
        <w:right w:val="none" w:sz="0" w:space="0" w:color="auto"/>
      </w:divBdr>
    </w:div>
    <w:div w:id="1319457760">
      <w:bodyDiv w:val="1"/>
      <w:marLeft w:val="0"/>
      <w:marRight w:val="0"/>
      <w:marTop w:val="0"/>
      <w:marBottom w:val="0"/>
      <w:divBdr>
        <w:top w:val="none" w:sz="0" w:space="0" w:color="auto"/>
        <w:left w:val="none" w:sz="0" w:space="0" w:color="auto"/>
        <w:bottom w:val="none" w:sz="0" w:space="0" w:color="auto"/>
        <w:right w:val="none" w:sz="0" w:space="0" w:color="auto"/>
      </w:divBdr>
    </w:div>
    <w:div w:id="1334651178">
      <w:bodyDiv w:val="1"/>
      <w:marLeft w:val="0"/>
      <w:marRight w:val="0"/>
      <w:marTop w:val="0"/>
      <w:marBottom w:val="0"/>
      <w:divBdr>
        <w:top w:val="none" w:sz="0" w:space="0" w:color="auto"/>
        <w:left w:val="none" w:sz="0" w:space="0" w:color="auto"/>
        <w:bottom w:val="none" w:sz="0" w:space="0" w:color="auto"/>
        <w:right w:val="none" w:sz="0" w:space="0" w:color="auto"/>
      </w:divBdr>
    </w:div>
    <w:div w:id="1351180800">
      <w:bodyDiv w:val="1"/>
      <w:marLeft w:val="0"/>
      <w:marRight w:val="0"/>
      <w:marTop w:val="0"/>
      <w:marBottom w:val="0"/>
      <w:divBdr>
        <w:top w:val="none" w:sz="0" w:space="0" w:color="auto"/>
        <w:left w:val="none" w:sz="0" w:space="0" w:color="auto"/>
        <w:bottom w:val="none" w:sz="0" w:space="0" w:color="auto"/>
        <w:right w:val="none" w:sz="0" w:space="0" w:color="auto"/>
      </w:divBdr>
    </w:div>
    <w:div w:id="1401712467">
      <w:bodyDiv w:val="1"/>
      <w:marLeft w:val="0"/>
      <w:marRight w:val="0"/>
      <w:marTop w:val="0"/>
      <w:marBottom w:val="0"/>
      <w:divBdr>
        <w:top w:val="none" w:sz="0" w:space="0" w:color="auto"/>
        <w:left w:val="none" w:sz="0" w:space="0" w:color="auto"/>
        <w:bottom w:val="none" w:sz="0" w:space="0" w:color="auto"/>
        <w:right w:val="none" w:sz="0" w:space="0" w:color="auto"/>
      </w:divBdr>
    </w:div>
    <w:div w:id="1442918202">
      <w:bodyDiv w:val="1"/>
      <w:marLeft w:val="0"/>
      <w:marRight w:val="0"/>
      <w:marTop w:val="0"/>
      <w:marBottom w:val="0"/>
      <w:divBdr>
        <w:top w:val="none" w:sz="0" w:space="0" w:color="auto"/>
        <w:left w:val="none" w:sz="0" w:space="0" w:color="auto"/>
        <w:bottom w:val="none" w:sz="0" w:space="0" w:color="auto"/>
        <w:right w:val="none" w:sz="0" w:space="0" w:color="auto"/>
      </w:divBdr>
    </w:div>
    <w:div w:id="1462648205">
      <w:bodyDiv w:val="1"/>
      <w:marLeft w:val="0"/>
      <w:marRight w:val="0"/>
      <w:marTop w:val="0"/>
      <w:marBottom w:val="0"/>
      <w:divBdr>
        <w:top w:val="none" w:sz="0" w:space="0" w:color="auto"/>
        <w:left w:val="none" w:sz="0" w:space="0" w:color="auto"/>
        <w:bottom w:val="none" w:sz="0" w:space="0" w:color="auto"/>
        <w:right w:val="none" w:sz="0" w:space="0" w:color="auto"/>
      </w:divBdr>
    </w:div>
    <w:div w:id="1488670330">
      <w:bodyDiv w:val="1"/>
      <w:marLeft w:val="0"/>
      <w:marRight w:val="0"/>
      <w:marTop w:val="0"/>
      <w:marBottom w:val="0"/>
      <w:divBdr>
        <w:top w:val="none" w:sz="0" w:space="0" w:color="auto"/>
        <w:left w:val="none" w:sz="0" w:space="0" w:color="auto"/>
        <w:bottom w:val="none" w:sz="0" w:space="0" w:color="auto"/>
        <w:right w:val="none" w:sz="0" w:space="0" w:color="auto"/>
      </w:divBdr>
    </w:div>
    <w:div w:id="1491940764">
      <w:bodyDiv w:val="1"/>
      <w:marLeft w:val="0"/>
      <w:marRight w:val="0"/>
      <w:marTop w:val="0"/>
      <w:marBottom w:val="0"/>
      <w:divBdr>
        <w:top w:val="none" w:sz="0" w:space="0" w:color="auto"/>
        <w:left w:val="none" w:sz="0" w:space="0" w:color="auto"/>
        <w:bottom w:val="none" w:sz="0" w:space="0" w:color="auto"/>
        <w:right w:val="none" w:sz="0" w:space="0" w:color="auto"/>
      </w:divBdr>
      <w:divsChild>
        <w:div w:id="1452741659">
          <w:marLeft w:val="0"/>
          <w:marRight w:val="0"/>
          <w:marTop w:val="2"/>
          <w:marBottom w:val="2"/>
          <w:divBdr>
            <w:top w:val="none" w:sz="0" w:space="0" w:color="auto"/>
            <w:left w:val="none" w:sz="0" w:space="0" w:color="auto"/>
            <w:bottom w:val="none" w:sz="0" w:space="0" w:color="auto"/>
            <w:right w:val="none" w:sz="0" w:space="0" w:color="auto"/>
          </w:divBdr>
        </w:div>
      </w:divsChild>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35773407">
      <w:bodyDiv w:val="1"/>
      <w:marLeft w:val="0"/>
      <w:marRight w:val="0"/>
      <w:marTop w:val="0"/>
      <w:marBottom w:val="0"/>
      <w:divBdr>
        <w:top w:val="none" w:sz="0" w:space="0" w:color="auto"/>
        <w:left w:val="none" w:sz="0" w:space="0" w:color="auto"/>
        <w:bottom w:val="none" w:sz="0" w:space="0" w:color="auto"/>
        <w:right w:val="none" w:sz="0" w:space="0" w:color="auto"/>
      </w:divBdr>
    </w:div>
    <w:div w:id="1606115642">
      <w:bodyDiv w:val="1"/>
      <w:marLeft w:val="0"/>
      <w:marRight w:val="0"/>
      <w:marTop w:val="0"/>
      <w:marBottom w:val="0"/>
      <w:divBdr>
        <w:top w:val="none" w:sz="0" w:space="0" w:color="auto"/>
        <w:left w:val="none" w:sz="0" w:space="0" w:color="auto"/>
        <w:bottom w:val="none" w:sz="0" w:space="0" w:color="auto"/>
        <w:right w:val="none" w:sz="0" w:space="0" w:color="auto"/>
      </w:divBdr>
    </w:div>
    <w:div w:id="1655134701">
      <w:bodyDiv w:val="1"/>
      <w:marLeft w:val="0"/>
      <w:marRight w:val="0"/>
      <w:marTop w:val="0"/>
      <w:marBottom w:val="0"/>
      <w:divBdr>
        <w:top w:val="none" w:sz="0" w:space="0" w:color="auto"/>
        <w:left w:val="none" w:sz="0" w:space="0" w:color="auto"/>
        <w:bottom w:val="none" w:sz="0" w:space="0" w:color="auto"/>
        <w:right w:val="none" w:sz="0" w:space="0" w:color="auto"/>
      </w:divBdr>
    </w:div>
    <w:div w:id="1713269571">
      <w:bodyDiv w:val="1"/>
      <w:marLeft w:val="0"/>
      <w:marRight w:val="0"/>
      <w:marTop w:val="0"/>
      <w:marBottom w:val="0"/>
      <w:divBdr>
        <w:top w:val="none" w:sz="0" w:space="0" w:color="auto"/>
        <w:left w:val="none" w:sz="0" w:space="0" w:color="auto"/>
        <w:bottom w:val="none" w:sz="0" w:space="0" w:color="auto"/>
        <w:right w:val="none" w:sz="0" w:space="0" w:color="auto"/>
      </w:divBdr>
    </w:div>
    <w:div w:id="1872642747">
      <w:bodyDiv w:val="1"/>
      <w:marLeft w:val="0"/>
      <w:marRight w:val="0"/>
      <w:marTop w:val="0"/>
      <w:marBottom w:val="0"/>
      <w:divBdr>
        <w:top w:val="none" w:sz="0" w:space="0" w:color="auto"/>
        <w:left w:val="none" w:sz="0" w:space="0" w:color="auto"/>
        <w:bottom w:val="none" w:sz="0" w:space="0" w:color="auto"/>
        <w:right w:val="none" w:sz="0" w:space="0" w:color="auto"/>
      </w:divBdr>
    </w:div>
    <w:div w:id="2028406867">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03256191">
      <w:bodyDiv w:val="1"/>
      <w:marLeft w:val="0"/>
      <w:marRight w:val="0"/>
      <w:marTop w:val="0"/>
      <w:marBottom w:val="0"/>
      <w:divBdr>
        <w:top w:val="none" w:sz="0" w:space="0" w:color="auto"/>
        <w:left w:val="none" w:sz="0" w:space="0" w:color="auto"/>
        <w:bottom w:val="none" w:sz="0" w:space="0" w:color="auto"/>
        <w:right w:val="none" w:sz="0" w:space="0" w:color="auto"/>
      </w:divBdr>
    </w:div>
    <w:div w:id="2109151470">
      <w:bodyDiv w:val="1"/>
      <w:marLeft w:val="0"/>
      <w:marRight w:val="0"/>
      <w:marTop w:val="0"/>
      <w:marBottom w:val="0"/>
      <w:divBdr>
        <w:top w:val="none" w:sz="0" w:space="0" w:color="auto"/>
        <w:left w:val="none" w:sz="0" w:space="0" w:color="auto"/>
        <w:bottom w:val="none" w:sz="0" w:space="0" w:color="auto"/>
        <w:right w:val="none" w:sz="0" w:space="0" w:color="auto"/>
      </w:divBdr>
    </w:div>
    <w:div w:id="21436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000C-EC05-4814-A165-FDB986D4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admin</cp:lastModifiedBy>
  <cp:revision>3</cp:revision>
  <cp:lastPrinted>2017-05-31T13:18:00Z</cp:lastPrinted>
  <dcterms:created xsi:type="dcterms:W3CDTF">2017-06-20T14:30:00Z</dcterms:created>
  <dcterms:modified xsi:type="dcterms:W3CDTF">2017-06-20T14:59:00Z</dcterms:modified>
</cp:coreProperties>
</file>